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D4C4EEF" wp14:editId="037D052A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2B17DF">
        <w:rPr>
          <w:sz w:val="40"/>
          <w:szCs w:val="40"/>
        </w:rPr>
        <w:t>апреля</w:t>
      </w:r>
      <w:r w:rsidRPr="007543E6">
        <w:rPr>
          <w:sz w:val="40"/>
          <w:szCs w:val="40"/>
        </w:rPr>
        <w:t xml:space="preserve"> 201</w:t>
      </w:r>
      <w:r w:rsidR="003407EC">
        <w:rPr>
          <w:sz w:val="40"/>
          <w:szCs w:val="40"/>
        </w:rPr>
        <w:t>8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3407EC">
        <w:rPr>
          <w:b/>
          <w:bCs/>
        </w:rPr>
        <w:t>8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828"/>
        <w:gridCol w:w="141"/>
        <w:gridCol w:w="709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8020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3407EC"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3407E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3407EC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3407EC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3407E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3407EC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3407EC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07EC" w:rsidRPr="002B6BAD" w:rsidTr="00802036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2B6BAD" w:rsidRDefault="003407EC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07EC" w:rsidRPr="00B874F4" w:rsidRDefault="003407EC" w:rsidP="003407EC">
            <w:pPr>
              <w:spacing w:after="0" w:line="240" w:lineRule="auto"/>
              <w:jc w:val="center"/>
            </w:pPr>
            <w:r w:rsidRPr="00B874F4">
              <w:t>165 878,6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802036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541 176,0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802036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186 372,7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7EC" w:rsidRPr="00331F7B" w:rsidRDefault="009B0990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9B0990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20 494,1</w:t>
            </w:r>
          </w:p>
        </w:tc>
      </w:tr>
      <w:tr w:rsidR="003407EC" w:rsidRPr="002B6BAD" w:rsidTr="00802036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2B6BAD" w:rsidRDefault="003407EC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07EC" w:rsidRPr="00B874F4" w:rsidRDefault="003407EC" w:rsidP="003407EC">
            <w:pPr>
              <w:spacing w:after="0" w:line="240" w:lineRule="auto"/>
              <w:jc w:val="center"/>
            </w:pPr>
            <w:r w:rsidRPr="00B874F4">
              <w:t>160 564,3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8020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568 604,0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8020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157 746,0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7EC" w:rsidRPr="00331F7B" w:rsidRDefault="009B0990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407EC">
              <w:rPr>
                <w:color w:val="000000"/>
              </w:rPr>
              <w:t>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9B0990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2 818,3</w:t>
            </w:r>
          </w:p>
        </w:tc>
      </w:tr>
      <w:tr w:rsidR="003407EC" w:rsidRPr="002B6BAD" w:rsidTr="00802036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2B6BAD" w:rsidRDefault="003407EC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7FA6" w:rsidRDefault="00427FA6" w:rsidP="003407EC">
            <w:pPr>
              <w:spacing w:after="0" w:line="240" w:lineRule="auto"/>
              <w:jc w:val="center"/>
            </w:pPr>
          </w:p>
          <w:p w:rsidR="003407EC" w:rsidRPr="00B874F4" w:rsidRDefault="003407EC" w:rsidP="003407EC">
            <w:pPr>
              <w:spacing w:after="0" w:line="240" w:lineRule="auto"/>
              <w:jc w:val="center"/>
            </w:pPr>
            <w:r w:rsidRPr="00B874F4">
              <w:t>5 314,3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5F00A0" w:rsidRDefault="003407EC" w:rsidP="0080203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02036">
              <w:rPr>
                <w:color w:val="000000" w:themeColor="text1"/>
              </w:rPr>
              <w:t>27 428,0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9E3593" w:rsidRDefault="00802036" w:rsidP="00771D06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28 626,7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3407EC" w:rsidRPr="002B6BAD" w:rsidTr="00802036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2B6BAD" w:rsidRDefault="003407EC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07EC" w:rsidRPr="00B874F4" w:rsidRDefault="003407EC" w:rsidP="003407EC">
            <w:pPr>
              <w:spacing w:after="0" w:line="240" w:lineRule="auto"/>
              <w:jc w:val="center"/>
            </w:pPr>
            <w:r w:rsidRPr="00B874F4">
              <w:t>-5 314,3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8020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27 428,0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9E3593" w:rsidRDefault="003407EC" w:rsidP="00802036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436FE">
              <w:rPr>
                <w:color w:val="000000"/>
              </w:rPr>
              <w:t>-</w:t>
            </w:r>
            <w:r w:rsidR="00802036">
              <w:rPr>
                <w:color w:val="000000"/>
              </w:rPr>
              <w:t>28 626,7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3407EC" w:rsidRPr="002B6BAD" w:rsidTr="00802036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2B6BAD" w:rsidRDefault="003407EC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07EC" w:rsidRPr="00B874F4" w:rsidRDefault="003407EC" w:rsidP="003407EC">
            <w:pPr>
              <w:spacing w:after="0" w:line="240" w:lineRule="auto"/>
              <w:jc w:val="center"/>
            </w:pPr>
            <w:r w:rsidRPr="00B874F4">
              <w:t>-2 314,3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8020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23 743,8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9E3593" w:rsidRDefault="0028446C" w:rsidP="00771D06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436FE">
              <w:rPr>
                <w:color w:val="000000"/>
              </w:rPr>
              <w:t>-</w:t>
            </w:r>
            <w:r>
              <w:rPr>
                <w:color w:val="000000"/>
              </w:rPr>
              <w:t>28 626,7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3407EC" w:rsidRPr="002B6BAD" w:rsidTr="00802036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2B6BAD" w:rsidRDefault="003407EC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7FA6" w:rsidRDefault="00427FA6" w:rsidP="003407EC">
            <w:pPr>
              <w:spacing w:after="0" w:line="240" w:lineRule="auto"/>
              <w:jc w:val="center"/>
            </w:pPr>
          </w:p>
          <w:p w:rsidR="003407EC" w:rsidRPr="00B874F4" w:rsidRDefault="003407EC" w:rsidP="003407EC">
            <w:pPr>
              <w:spacing w:after="0" w:line="240" w:lineRule="auto"/>
              <w:jc w:val="center"/>
            </w:pPr>
            <w:r w:rsidRPr="00B874F4">
              <w:t>-3 609,9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8020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1 089,4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802036" w:rsidP="00771D0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3407EC" w:rsidRPr="002B6BAD" w:rsidTr="00802036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EC" w:rsidRPr="002B6BAD" w:rsidRDefault="003407EC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A6" w:rsidRDefault="00427FA6" w:rsidP="003407EC">
            <w:pPr>
              <w:spacing w:after="0" w:line="240" w:lineRule="auto"/>
              <w:jc w:val="center"/>
            </w:pPr>
          </w:p>
          <w:p w:rsidR="003407EC" w:rsidRDefault="003407EC" w:rsidP="003407EC">
            <w:pPr>
              <w:spacing w:after="0" w:line="240" w:lineRule="auto"/>
              <w:jc w:val="center"/>
            </w:pPr>
            <w:r w:rsidRPr="00B874F4">
              <w:t>609,9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EC" w:rsidRPr="00331F7B" w:rsidRDefault="00802036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2 594,8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EC" w:rsidRPr="00331F7B" w:rsidRDefault="00802036" w:rsidP="00771D0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EC" w:rsidRPr="00331F7B" w:rsidRDefault="003407EC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828" w:type="dxa"/>
            <w:vMerge w:val="restart"/>
          </w:tcPr>
          <w:p w:rsidR="00B5570A" w:rsidRDefault="00B5570A"/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83097D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83097D" w:rsidRPr="00B5570A" w:rsidRDefault="00C04192" w:rsidP="005D5012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Консолидированный бюджет муниципального района "Забайкальский район" по доходам за </w:t>
                  </w:r>
                  <w:r w:rsidR="004D1190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1 квартал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9B0990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 исполнен в объеме </w:t>
                  </w:r>
                  <w:r w:rsidR="005D5012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186 372,7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тыс. руб. или на </w:t>
                  </w:r>
                  <w:r w:rsidR="005D5012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34,4</w:t>
                  </w:r>
                  <w:r w:rsidR="00AE6951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% к утвержденным бюджетным назначениям на 201</w:t>
                  </w:r>
                  <w:r w:rsidR="009B0990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год, что на </w:t>
                  </w:r>
                  <w:r w:rsidR="005D5012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20 494,1</w:t>
                  </w:r>
                  <w:r w:rsidR="00AE6951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тыс. руб. больше уровня прошлого года. </w:t>
                  </w: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E004D5" w:rsidRDefault="00FC7F83" w:rsidP="002B17DF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 xml:space="preserve">Динамика объема доходов </w:t>
            </w:r>
          </w:p>
        </w:tc>
      </w:tr>
      <w:tr w:rsidR="00FC7F83" w:rsidRPr="002B6BAD" w:rsidTr="00AE6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2B6BAD" w:rsidRDefault="005D5012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42790" cy="264985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B5570A" w:rsidRDefault="00B5570A" w:rsidP="00B5570A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C7F83" w:rsidRPr="00B5570A" w:rsidRDefault="00D10CE5" w:rsidP="0006066D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района "Забайкальский район" за</w:t>
            </w:r>
            <w:r w:rsidR="0072356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723566">
              <w:rPr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72356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составили </w:t>
            </w:r>
            <w:r w:rsidR="0006066D">
              <w:rPr>
                <w:i/>
                <w:iCs/>
                <w:sz w:val="24"/>
                <w:szCs w:val="24"/>
                <w:lang w:eastAsia="ru-RU"/>
              </w:rPr>
              <w:t>157 746,0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 тыс. рублей (</w:t>
            </w:r>
            <w:r w:rsidR="0006066D">
              <w:rPr>
                <w:i/>
                <w:iCs/>
                <w:sz w:val="24"/>
                <w:szCs w:val="24"/>
                <w:lang w:eastAsia="ru-RU"/>
              </w:rPr>
              <w:t>98,2</w:t>
            </w:r>
            <w:r w:rsidR="00B5570A" w:rsidRPr="00B5570A">
              <w:rPr>
                <w:i/>
                <w:iCs/>
                <w:sz w:val="24"/>
                <w:szCs w:val="24"/>
                <w:lang w:eastAsia="ru-RU"/>
              </w:rPr>
              <w:t xml:space="preserve"> % к уровню прошлого года).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 финансирования отраслей социальной сферы составил </w:t>
            </w:r>
            <w:r w:rsidR="00C164ED">
              <w:rPr>
                <w:i/>
                <w:iCs/>
                <w:color w:val="000000"/>
                <w:sz w:val="24"/>
                <w:szCs w:val="24"/>
                <w:lang w:eastAsia="ru-RU"/>
              </w:rPr>
              <w:t>111 811,0</w:t>
            </w:r>
            <w:r w:rsidR="00EB14C2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06066D">
              <w:rPr>
                <w:i/>
                <w:iCs/>
                <w:color w:val="000000"/>
                <w:sz w:val="24"/>
                <w:szCs w:val="24"/>
                <w:lang w:eastAsia="ru-RU"/>
              </w:rPr>
              <w:t>70,9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2B6BAD" w:rsidRDefault="00FC7F83" w:rsidP="00BC172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 xml:space="preserve">Динамика объема расходов </w:t>
            </w:r>
          </w:p>
        </w:tc>
      </w:tr>
      <w:tr w:rsidR="00FC7F83" w:rsidRPr="002B6BAD" w:rsidTr="00475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126CF8" w:rsidRDefault="00475102" w:rsidP="00BC172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557A8C" wp14:editId="404B29C5">
                  <wp:extent cx="4610100" cy="301942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FC7F83" w:rsidRPr="002B6BAD" w:rsidRDefault="00FC7F83" w:rsidP="009328A9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3A3A0B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AB531C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A261E2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9328A9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A261E2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="009328A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9328A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3A3A0B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AB531C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A261E2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FC7F83" w:rsidRPr="002B6BAD" w:rsidRDefault="00FC7F83" w:rsidP="00A261E2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A261E2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A261E2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491563">
            <w:pPr>
              <w:pStyle w:val="1"/>
              <w:spacing w:line="22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2951D2" w:rsidRDefault="00450795" w:rsidP="00C2138E">
            <w:pPr>
              <w:spacing w:after="0" w:line="240" w:lineRule="auto"/>
              <w:jc w:val="center"/>
              <w:rPr>
                <w:b/>
              </w:rPr>
            </w:pPr>
            <w:r w:rsidRPr="002951D2">
              <w:rPr>
                <w:b/>
              </w:rPr>
              <w:t>39</w:t>
            </w:r>
            <w:r w:rsidR="00B861D4">
              <w:rPr>
                <w:b/>
              </w:rPr>
              <w:t xml:space="preserve"> </w:t>
            </w:r>
            <w:r w:rsidRPr="002951D2">
              <w:rPr>
                <w:b/>
              </w:rPr>
              <w:t>972,8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C2138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196</w:t>
            </w:r>
            <w:r w:rsidR="0049156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475,2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C2138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64</w:t>
            </w:r>
            <w:r w:rsidR="0049156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494,1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161,3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491563">
            <w:pPr>
              <w:spacing w:after="0" w:line="220" w:lineRule="exact"/>
              <w:jc w:val="center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27</w:t>
            </w:r>
            <w:r w:rsidR="00B861D4">
              <w:t xml:space="preserve"> </w:t>
            </w:r>
            <w:r w:rsidRPr="00066472">
              <w:t>049,9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  <w:r w:rsidR="004915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160,5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4915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706,8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132,0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491563">
            <w:pPr>
              <w:spacing w:after="0"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1</w:t>
            </w:r>
            <w:r w:rsidR="00B861D4">
              <w:t xml:space="preserve"> </w:t>
            </w:r>
            <w:r w:rsidRPr="00066472">
              <w:t>631,6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915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003,5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915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659,8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101,7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491563">
            <w:pPr>
              <w:spacing w:after="0" w:line="220" w:lineRule="exact"/>
              <w:jc w:val="center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B861D4" w:rsidP="00C2138E">
            <w:pPr>
              <w:spacing w:after="0" w:line="240" w:lineRule="auto"/>
              <w:jc w:val="center"/>
            </w:pPr>
            <w:r>
              <w:t>3 141,8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4915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648,4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4146EA" w:rsidRDefault="00450795" w:rsidP="00C2138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915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756,8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C2138E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87,7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1</w:t>
            </w:r>
            <w:r w:rsidR="00B861D4">
              <w:t xml:space="preserve"> </w:t>
            </w:r>
            <w:r w:rsidRPr="00066472">
              <w:t>60,8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</w:t>
            </w:r>
            <w:r w:rsidR="00491563">
              <w:t xml:space="preserve"> </w:t>
            </w:r>
            <w:r>
              <w:t>158,7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232,2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144,4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3</w:t>
            </w:r>
            <w:r w:rsidR="00B861D4">
              <w:t xml:space="preserve"> </w:t>
            </w:r>
            <w:r w:rsidRPr="00066472">
              <w:t>404,2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15609,0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11009,5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323,4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148,5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14,9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Государственная пошлина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7</w:t>
            </w:r>
            <w:r w:rsidR="00B861D4">
              <w:t xml:space="preserve"> </w:t>
            </w:r>
            <w:r w:rsidRPr="00066472">
              <w:t>37,0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3516,2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722,5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98,0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0,9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B861D4" w:rsidP="00C2138E">
            <w:pPr>
              <w:spacing w:after="0" w:line="240" w:lineRule="auto"/>
              <w:jc w:val="center"/>
            </w:pPr>
            <w:r>
              <w:t>2 182,4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23669,0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9957,7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C2138E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456,3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ind w:left="35" w:hanging="35"/>
              <w:jc w:val="center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66,5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206,8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271,5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408,3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ind w:left="35" w:hanging="35"/>
              <w:jc w:val="center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52,2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163,8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56,9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109,0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608,7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1684,0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1324,2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217,5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Штрафы, санкции, возмещение ущерба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887,8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5259,6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738,9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83,2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49,0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247,2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42,4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2951D2" w:rsidRDefault="00450795" w:rsidP="00C2138E">
            <w:pPr>
              <w:spacing w:after="0" w:line="240" w:lineRule="auto"/>
              <w:jc w:val="center"/>
              <w:rPr>
                <w:b/>
              </w:rPr>
            </w:pPr>
            <w:r w:rsidRPr="002951D2">
              <w:rPr>
                <w:b/>
              </w:rPr>
              <w:t>125905,8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344700,8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121878,6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96,8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125959,7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344700,8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121934,3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96,8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Дотации от других бюджетов бюджетной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14734,9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64563,7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15791,1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107,2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28361,4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60549,2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39775,9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140,2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Субвенции бюджетам субъектов РФ и 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81174,3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214045,1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66131,7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1689,1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spacing w:after="0" w:line="240" w:lineRule="auto"/>
              <w:jc w:val="center"/>
            </w:pPr>
            <w:r>
              <w:t>5542,8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spacing w:after="0" w:line="240" w:lineRule="auto"/>
              <w:jc w:val="center"/>
            </w:pPr>
            <w:r>
              <w:t>235,7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Прочие безвозмездные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-53,9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-55,7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103,3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491563">
            <w:pPr>
              <w:spacing w:after="0" w:line="220" w:lineRule="exact"/>
              <w:jc w:val="center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CC187C" w:rsidRDefault="00450795" w:rsidP="00C2138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2B6BAD" w:rsidRDefault="00450795" w:rsidP="00491563">
            <w:pPr>
              <w:spacing w:after="0" w:line="220" w:lineRule="exact"/>
              <w:jc w:val="center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066472" w:rsidRDefault="00450795" w:rsidP="00C2138E">
            <w:pPr>
              <w:spacing w:after="0" w:line="240" w:lineRule="auto"/>
              <w:jc w:val="center"/>
            </w:pPr>
            <w:r w:rsidRPr="00066472"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B9795A" w:rsidRDefault="00450795" w:rsidP="00C2138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B9795A" w:rsidRDefault="00450795" w:rsidP="00C2138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50795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836EED" w:rsidRDefault="00450795" w:rsidP="0049156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2951D2" w:rsidRDefault="00450795" w:rsidP="00C2138E">
            <w:pPr>
              <w:spacing w:after="0" w:line="240" w:lineRule="auto"/>
              <w:jc w:val="center"/>
              <w:rPr>
                <w:b/>
              </w:rPr>
            </w:pPr>
            <w:r w:rsidRPr="002951D2">
              <w:rPr>
                <w:b/>
              </w:rPr>
              <w:t>165878,6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B9795A" w:rsidRDefault="00450795" w:rsidP="00C213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541176,0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Pr="00B9795A" w:rsidRDefault="00450795" w:rsidP="00C213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186372,7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795" w:rsidRDefault="00450795" w:rsidP="00C21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112,4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8F49C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 xml:space="preserve">Структура исполнения доходов консолидированного бюджета за </w:t>
            </w:r>
            <w:r w:rsidR="004F00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2951D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8F49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FD656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00A5">
              <w:rPr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2951D2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C04192" w:rsidRPr="002B6BAD" w:rsidTr="0015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836EED" w:rsidRDefault="00E03032" w:rsidP="0066024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E81E86" wp14:editId="69E7C8E7">
                  <wp:extent cx="3404681" cy="1926076"/>
                  <wp:effectExtent l="0" t="0" r="5715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92" w:rsidRPr="002B6BAD" w:rsidRDefault="00152F5A" w:rsidP="0066024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133808" wp14:editId="08597D40">
                  <wp:extent cx="3409950" cy="192405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04192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C04192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C04192" w:rsidRPr="002B6BAD" w:rsidTr="009D334E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450795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486400" cy="32004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04192" w:rsidRPr="002B6BAD" w:rsidTr="00352570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C04192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C04192" w:rsidRPr="003230A7" w:rsidRDefault="00C04192" w:rsidP="00226F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C04192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C04192" w:rsidRPr="003230A7" w:rsidRDefault="00C04192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296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01.0</w:t>
                  </w:r>
                  <w:r w:rsidR="00B5570A"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2951D2"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2951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2951D2"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2951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2951D2"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2951D2"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C04192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бюджетные назначения н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>а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230A7" w:rsidRDefault="00C04192" w:rsidP="00296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01.0</w:t>
                  </w:r>
                  <w:r w:rsidR="00B5570A"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2951D2"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192" w:rsidRPr="003230A7" w:rsidRDefault="00C04192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51D2" w:rsidRPr="002B6BAD" w:rsidTr="00C2138E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24 282,5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102 922,0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23 902,1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380,4</w:t>
                  </w:r>
                </w:p>
              </w:tc>
            </w:tr>
            <w:tr w:rsidR="002951D2" w:rsidRPr="002B6BAD" w:rsidTr="00C2138E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о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борона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476,6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2 860,8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487,1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10,5</w:t>
                  </w:r>
                </w:p>
              </w:tc>
            </w:tr>
            <w:tr w:rsidR="002951D2" w:rsidRPr="002B6BAD" w:rsidTr="00C2138E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без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опасно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сть и правоохранительная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деяте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230A7" w:rsidRPr="003230A7" w:rsidRDefault="003230A7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1 444,2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2 530,0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E7752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-758,2</w:t>
                  </w:r>
                </w:p>
              </w:tc>
            </w:tr>
            <w:tr w:rsidR="002951D2" w:rsidRPr="002B6BAD" w:rsidTr="00C2138E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Национальная </w:t>
                  </w:r>
                  <w:r w:rsid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554,6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24 000,9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="00E7752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486,2</w:t>
                  </w:r>
                </w:p>
              </w:tc>
            </w:tr>
            <w:tr w:rsidR="002951D2" w:rsidRPr="002B6BAD" w:rsidTr="00C2138E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Жилищно-ко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ммунальное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29 900,4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60 385,3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17 718,4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E7752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-12 182,0</w:t>
                  </w:r>
                </w:p>
              </w:tc>
            </w:tr>
            <w:tr w:rsidR="002951D2" w:rsidRPr="002B6BAD" w:rsidTr="00C2138E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89 885,7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319 347,5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100 290,1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E7752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10 404,4</w:t>
                  </w:r>
                </w:p>
              </w:tc>
            </w:tr>
            <w:tr w:rsidR="002951D2" w:rsidRPr="002B6BAD" w:rsidTr="00C2138E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 и кинем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атография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2 828,0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16 647,7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5 522,9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E7752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2 694,9</w:t>
                  </w:r>
                </w:p>
              </w:tc>
            </w:tr>
            <w:tr w:rsidR="002951D2" w:rsidRPr="002B6BAD" w:rsidTr="00C2138E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Социальная</w:t>
                  </w:r>
                  <w:r w:rsidR="003230A7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олитика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6 109,7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17 874,5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4 238,4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E7752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1 871,3</w:t>
                  </w:r>
                </w:p>
              </w:tc>
            </w:tr>
            <w:tr w:rsidR="002951D2" w:rsidRPr="002B6BAD" w:rsidTr="00C2138E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ическая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861,9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10 452,2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1 759,6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E7752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897,7</w:t>
                  </w:r>
                </w:p>
              </w:tc>
            </w:tr>
            <w:tr w:rsidR="002951D2" w:rsidRPr="002B6BAD" w:rsidTr="00C2138E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299,4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E7752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-21,2</w:t>
                  </w:r>
                </w:p>
              </w:tc>
            </w:tr>
            <w:tr w:rsidR="002951D2" w:rsidRPr="002B6BAD" w:rsidTr="00C2138E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Обсл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уживание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ального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221,2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="00E7752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208,8</w:t>
                  </w:r>
                </w:p>
              </w:tc>
            </w:tr>
            <w:tr w:rsidR="002951D2" w:rsidRPr="002B6BAD" w:rsidTr="00C2138E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</w:t>
                  </w:r>
                  <w:r w:rsidR="002951D2"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нсферты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3 903,5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11 194,7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2 985,8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2951D2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="00E7752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917,7</w:t>
                  </w:r>
                </w:p>
              </w:tc>
            </w:tr>
            <w:tr w:rsidR="002951D2" w:rsidRPr="002B6BAD" w:rsidTr="00C2138E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 РАСХОД</w:t>
                  </w:r>
                  <w:r w:rsidR="002951D2" w:rsidRPr="003230A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E77528" w:rsidRDefault="002951D2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7752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160 564,3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568 604,0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157 746,0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2951D2" w:rsidRPr="003230A7" w:rsidRDefault="003230A7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="002951D2" w:rsidRPr="003230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51D2" w:rsidRPr="003230A7" w:rsidRDefault="00E7752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-2 818,3</w:t>
                  </w: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38E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2138E" w:rsidRDefault="00C2138E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C2138E" w:rsidRDefault="00C2138E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C2138E" w:rsidRPr="002B6BAD" w:rsidRDefault="00C2138E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lastRenderedPageBreak/>
                    <w:t>Структура расходов</w:t>
                  </w:r>
                </w:p>
              </w:tc>
            </w:tr>
          </w:tbl>
          <w:p w:rsidR="00C04192" w:rsidRDefault="00352570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EA966E5" wp14:editId="43DD6636">
                  <wp:extent cx="6915150" cy="31908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04192" w:rsidRDefault="00C04192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8439E" w:rsidRPr="002F73B6" w:rsidRDefault="0038439E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11227"/>
            </w:tblGrid>
            <w:tr w:rsidR="00C04192" w:rsidRPr="002B6BAD" w:rsidTr="00552CCE">
              <w:trPr>
                <w:trHeight w:val="300"/>
              </w:trPr>
              <w:tc>
                <w:tcPr>
                  <w:tcW w:w="1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04192" w:rsidRPr="002B6BAD" w:rsidTr="00825685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825685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FDCE5B4" wp14:editId="3865043C">
                  <wp:extent cx="7181850" cy="256222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91317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r w:rsidR="00060C4F">
        <w:rPr>
          <w:color w:val="000000"/>
          <w:lang w:eastAsia="ru-RU"/>
        </w:rPr>
        <w:t xml:space="preserve"> </w:t>
      </w:r>
      <w:r w:rsidR="00ED5C1B">
        <w:rPr>
          <w:color w:val="000000"/>
          <w:lang w:eastAsia="ru-RU"/>
        </w:rPr>
        <w:t xml:space="preserve">1 квартал </w:t>
      </w:r>
      <w:r w:rsidRPr="005127CE">
        <w:rPr>
          <w:color w:val="000000"/>
          <w:lang w:eastAsia="ru-RU"/>
        </w:rPr>
        <w:t>201</w:t>
      </w:r>
      <w:r w:rsidR="001B406C">
        <w:rPr>
          <w:color w:val="000000"/>
          <w:lang w:eastAsia="ru-RU"/>
        </w:rPr>
        <w:t>8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 xml:space="preserve"> направлено </w:t>
      </w:r>
      <w:r w:rsidR="00060C4F">
        <w:rPr>
          <w:color w:val="000000"/>
          <w:lang w:eastAsia="ru-RU"/>
        </w:rPr>
        <w:t xml:space="preserve">103 696,0 </w:t>
      </w:r>
      <w:r w:rsidR="00B120C9">
        <w:rPr>
          <w:color w:val="000000"/>
          <w:lang w:eastAsia="ru-RU"/>
        </w:rPr>
        <w:t xml:space="preserve">тыс. </w:t>
      </w:r>
      <w:r w:rsidRPr="005127CE">
        <w:rPr>
          <w:color w:val="000000"/>
          <w:lang w:eastAsia="ru-RU"/>
        </w:rPr>
        <w:t xml:space="preserve">рублей (справочно: </w:t>
      </w:r>
      <w:r w:rsidR="00060C4F">
        <w:rPr>
          <w:color w:val="000000"/>
          <w:lang w:eastAsia="ru-RU"/>
        </w:rPr>
        <w:t>97 065,2</w:t>
      </w:r>
      <w:r w:rsidRPr="005127CE">
        <w:rPr>
          <w:color w:val="000000"/>
          <w:lang w:eastAsia="ru-RU"/>
        </w:rPr>
        <w:t xml:space="preserve">тыс. рублей </w:t>
      </w:r>
      <w:r w:rsidR="00714158">
        <w:rPr>
          <w:color w:val="000000"/>
          <w:lang w:eastAsia="ru-RU"/>
        </w:rPr>
        <w:t xml:space="preserve">за </w:t>
      </w:r>
      <w:r w:rsidR="00ED5C1B">
        <w:rPr>
          <w:color w:val="000000"/>
          <w:lang w:eastAsia="ru-RU"/>
        </w:rPr>
        <w:t xml:space="preserve">1 квартал </w:t>
      </w:r>
      <w:r w:rsidRPr="005127CE">
        <w:rPr>
          <w:color w:val="000000"/>
          <w:lang w:eastAsia="ru-RU"/>
        </w:rPr>
        <w:t>201</w:t>
      </w:r>
      <w:r w:rsidR="001B406C">
        <w:rPr>
          <w:color w:val="000000"/>
          <w:lang w:eastAsia="ru-RU"/>
        </w:rPr>
        <w:t>7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B120C9">
        <w:rPr>
          <w:color w:val="000000"/>
          <w:lang w:eastAsia="ru-RU"/>
        </w:rPr>
        <w:t>0</w:t>
      </w:r>
      <w:r w:rsidR="00ED5C1B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>.201</w:t>
      </w:r>
      <w:r w:rsidR="00060C4F">
        <w:rPr>
          <w:color w:val="000000"/>
          <w:lang w:eastAsia="ru-RU"/>
        </w:rPr>
        <w:t>8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60630E">
        <w:rPr>
          <w:color w:val="000000"/>
          <w:lang w:eastAsia="ru-RU"/>
        </w:rPr>
        <w:t xml:space="preserve"> </w:t>
      </w:r>
      <w:r w:rsidR="00060C4F">
        <w:rPr>
          <w:color w:val="000000"/>
          <w:lang w:eastAsia="ru-RU"/>
        </w:rPr>
        <w:t xml:space="preserve"> 1 176,0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425"/>
        <w:gridCol w:w="567"/>
        <w:gridCol w:w="567"/>
        <w:gridCol w:w="850"/>
        <w:gridCol w:w="851"/>
        <w:gridCol w:w="850"/>
        <w:gridCol w:w="993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4663E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01.04</w:t>
            </w:r>
            <w:r w:rsidR="00020AC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ED310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2018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BB539C">
        <w:trPr>
          <w:cantSplit/>
          <w:trHeight w:val="1185"/>
        </w:trPr>
        <w:tc>
          <w:tcPr>
            <w:tcW w:w="6096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BB539C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01.01.2013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BB539C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на01.01.2014</w:t>
            </w:r>
          </w:p>
        </w:tc>
        <w:tc>
          <w:tcPr>
            <w:tcW w:w="567" w:type="dxa"/>
            <w:shd w:val="clear" w:color="auto" w:fill="FFFF66"/>
            <w:textDirection w:val="btLr"/>
            <w:vAlign w:val="bottom"/>
          </w:tcPr>
          <w:p w:rsidR="00314112" w:rsidRPr="00D86000" w:rsidRDefault="00BB539C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060C4F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BB539C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</w:t>
            </w:r>
            <w:r w:rsidR="00060C4F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314112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BB539C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04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060C4F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8</w:t>
            </w:r>
          </w:p>
          <w:p w:rsidR="00060C4F" w:rsidRPr="000109BF" w:rsidRDefault="00060C4F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93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 w:rsidR="005760E7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4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5760E7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314112" w:rsidRPr="000915CB" w:rsidTr="00BB539C">
        <w:trPr>
          <w:trHeight w:val="640"/>
        </w:trPr>
        <w:tc>
          <w:tcPr>
            <w:tcW w:w="6096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060C4F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34</w:t>
            </w:r>
            <w:r w:rsidR="005B0D9E">
              <w:rPr>
                <w:rFonts w:asciiTheme="minorHAnsi" w:hAnsiTheme="minorHAnsi" w:cs="Arial CYR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 CYR"/>
                <w:sz w:val="18"/>
                <w:szCs w:val="18"/>
              </w:rPr>
              <w:t>554,2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D751CB" w:rsidP="00BB539C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20 265,9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5760E7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18 552,9</w:t>
            </w:r>
          </w:p>
        </w:tc>
        <w:tc>
          <w:tcPr>
            <w:tcW w:w="993" w:type="dxa"/>
            <w:noWrap/>
            <w:vAlign w:val="bottom"/>
          </w:tcPr>
          <w:p w:rsidR="00314112" w:rsidRPr="00D86000" w:rsidRDefault="002F5678" w:rsidP="00C16871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-</w:t>
            </w:r>
            <w:r w:rsidR="00C16871">
              <w:rPr>
                <w:rFonts w:asciiTheme="minorHAnsi" w:hAnsiTheme="minorHAnsi" w:cs="Arial CYR"/>
                <w:sz w:val="18"/>
                <w:szCs w:val="18"/>
              </w:rPr>
              <w:t>1713,0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F0942" w:rsidRDefault="005F094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F0942" w:rsidRDefault="005F094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F0942" w:rsidRDefault="005F094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F0942" w:rsidRDefault="005F094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lastRenderedPageBreak/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lastRenderedPageBreak/>
              <w:t>КОНСОЛИДИРОВАННЫЙ  БЮДЖЕТ</w:t>
            </w:r>
          </w:p>
        </w:tc>
      </w:tr>
    </w:tbl>
    <w:p w:rsidR="00FC7F83" w:rsidRDefault="00FC7F83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p w:rsidR="004F230E" w:rsidRDefault="008B7F45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80070FB" wp14:editId="11A80BFE">
            <wp:extent cx="6858000" cy="30765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5CF7" w:rsidRPr="005F0942" w:rsidRDefault="00155CF7" w:rsidP="004F230E">
      <w:pPr>
        <w:spacing w:line="240" w:lineRule="auto"/>
        <w:jc w:val="center"/>
      </w:pPr>
      <w:bookmarkStart w:id="0" w:name="_GoBack"/>
      <w:bookmarkEnd w:id="0"/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ED5C1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ED5C1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E9038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635AD4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0109BF" w:rsidRDefault="00FC7F83" w:rsidP="002E408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ED5C1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2E408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635AD4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635AD4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D5C1B" w:rsidP="00ED5C1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«Совершенствование муниципального управления муниципального района «Забайкальский район»</w:t>
            </w:r>
            <w:r w:rsidR="00E2100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81 386,1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2E4086" w:rsidP="00E2100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25 084,7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C94E67" w:rsidRPr="00C13D89" w:rsidTr="00635AD4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муниципальным долгом муниципального района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21 537,0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C94E67" w:rsidRPr="002B6BAD" w:rsidTr="00635AD4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5513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муниципальной собственностью 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2E4086" w:rsidP="00E21009">
            <w:pPr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13D89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61494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C94E67" w:rsidRPr="002B6BAD" w:rsidTr="00635AD4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информационного общества и формирование электронного правительства в муниципальном районе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E21009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E21009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E21009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2E4086" w:rsidP="00F9131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2100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E21009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E21009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«Экономическое развитие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  <w:r w:rsidR="00595AD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595ADF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72029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F9131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«Муниципальное регулирование территориального развития муниципального 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9 567,1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C94E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образования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326 291,3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103 742,7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C94E67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C13D89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«Социальная поддержка граждан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595ADF" w:rsidRDefault="00F921C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595ADF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1494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595ADF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C15B78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595ADF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«Развитие культуры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C33652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C33652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C33652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1494A">
              <w:rPr>
                <w:color w:val="000000"/>
                <w:sz w:val="24"/>
                <w:szCs w:val="24"/>
              </w:rPr>
              <w:t>,6</w:t>
            </w:r>
          </w:p>
        </w:tc>
      </w:tr>
      <w:tr w:rsidR="00C15B78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F921CC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физической культуры и спорта в муниципальном районе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D61AEC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7 695,2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D61AEC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D61AEC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Pr="00635AD4" w:rsidRDefault="00F921CC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«Устойчивое развитие сельских территорий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Pr="00C33652" w:rsidRDefault="002E408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Pr="00C33652" w:rsidRDefault="00F921CC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Pr="00C33652" w:rsidRDefault="0072029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4086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086" w:rsidRDefault="00BD0273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BD0273">
              <w:rPr>
                <w:color w:val="000000"/>
                <w:sz w:val="24"/>
                <w:szCs w:val="24"/>
              </w:rPr>
              <w:t>"Развитие транспортной системы муниципального района "Забайкальский район" на 2017-2021 годы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86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086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086" w:rsidRDefault="00BD027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</w:tbl>
    <w:p w:rsidR="00763D8B" w:rsidRDefault="00763D8B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6C" w:rsidRDefault="001B406C" w:rsidP="0053004B">
      <w:pPr>
        <w:spacing w:after="0" w:line="240" w:lineRule="auto"/>
      </w:pPr>
      <w:r>
        <w:separator/>
      </w:r>
    </w:p>
  </w:endnote>
  <w:endnote w:type="continuationSeparator" w:id="0">
    <w:p w:rsidR="001B406C" w:rsidRDefault="001B406C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6C" w:rsidRDefault="001B406C" w:rsidP="0053004B">
      <w:pPr>
        <w:spacing w:after="0" w:line="240" w:lineRule="auto"/>
      </w:pPr>
      <w:r>
        <w:separator/>
      </w:r>
    </w:p>
  </w:footnote>
  <w:footnote w:type="continuationSeparator" w:id="0">
    <w:p w:rsidR="001B406C" w:rsidRDefault="001B406C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09BF"/>
    <w:rsid w:val="00013552"/>
    <w:rsid w:val="000174FE"/>
    <w:rsid w:val="00020AC4"/>
    <w:rsid w:val="00025359"/>
    <w:rsid w:val="000332CC"/>
    <w:rsid w:val="00036D2B"/>
    <w:rsid w:val="000473A0"/>
    <w:rsid w:val="00050FB7"/>
    <w:rsid w:val="0005174A"/>
    <w:rsid w:val="000604A7"/>
    <w:rsid w:val="0006066D"/>
    <w:rsid w:val="00060C4F"/>
    <w:rsid w:val="00061BD6"/>
    <w:rsid w:val="000621E9"/>
    <w:rsid w:val="00063BA6"/>
    <w:rsid w:val="00071FBF"/>
    <w:rsid w:val="00073091"/>
    <w:rsid w:val="00080B49"/>
    <w:rsid w:val="00081234"/>
    <w:rsid w:val="00086F18"/>
    <w:rsid w:val="00087B2B"/>
    <w:rsid w:val="000915CB"/>
    <w:rsid w:val="00092ACD"/>
    <w:rsid w:val="000964A1"/>
    <w:rsid w:val="000A0600"/>
    <w:rsid w:val="000A2339"/>
    <w:rsid w:val="000A3748"/>
    <w:rsid w:val="000A632A"/>
    <w:rsid w:val="000B3E76"/>
    <w:rsid w:val="000B3FF4"/>
    <w:rsid w:val="000B631B"/>
    <w:rsid w:val="000C0697"/>
    <w:rsid w:val="000C4D19"/>
    <w:rsid w:val="000D2182"/>
    <w:rsid w:val="000D3293"/>
    <w:rsid w:val="000D3F1D"/>
    <w:rsid w:val="000E0B75"/>
    <w:rsid w:val="000E201F"/>
    <w:rsid w:val="000E5328"/>
    <w:rsid w:val="000E5CB4"/>
    <w:rsid w:val="000F4CFF"/>
    <w:rsid w:val="000F5038"/>
    <w:rsid w:val="000F7ED9"/>
    <w:rsid w:val="00102E8B"/>
    <w:rsid w:val="00112121"/>
    <w:rsid w:val="00112B4D"/>
    <w:rsid w:val="00112E81"/>
    <w:rsid w:val="00126CF8"/>
    <w:rsid w:val="00127A18"/>
    <w:rsid w:val="00127E13"/>
    <w:rsid w:val="0013359A"/>
    <w:rsid w:val="00135B79"/>
    <w:rsid w:val="001418E7"/>
    <w:rsid w:val="001457CD"/>
    <w:rsid w:val="00146575"/>
    <w:rsid w:val="001510FB"/>
    <w:rsid w:val="00152C3A"/>
    <w:rsid w:val="00152F5A"/>
    <w:rsid w:val="00152FD8"/>
    <w:rsid w:val="00155CF7"/>
    <w:rsid w:val="001579F3"/>
    <w:rsid w:val="0016165C"/>
    <w:rsid w:val="0016324B"/>
    <w:rsid w:val="00164D06"/>
    <w:rsid w:val="00170FA3"/>
    <w:rsid w:val="001721E3"/>
    <w:rsid w:val="00174684"/>
    <w:rsid w:val="00182E0E"/>
    <w:rsid w:val="001865DE"/>
    <w:rsid w:val="00192E7E"/>
    <w:rsid w:val="00193AED"/>
    <w:rsid w:val="001B2FB8"/>
    <w:rsid w:val="001B406C"/>
    <w:rsid w:val="001C2E58"/>
    <w:rsid w:val="001C682F"/>
    <w:rsid w:val="001D2C8D"/>
    <w:rsid w:val="001D3004"/>
    <w:rsid w:val="001D36C7"/>
    <w:rsid w:val="001E08C9"/>
    <w:rsid w:val="001E129E"/>
    <w:rsid w:val="001E3EC3"/>
    <w:rsid w:val="001E7E7A"/>
    <w:rsid w:val="00200C58"/>
    <w:rsid w:val="00204418"/>
    <w:rsid w:val="00212341"/>
    <w:rsid w:val="00214AF5"/>
    <w:rsid w:val="00221097"/>
    <w:rsid w:val="00223603"/>
    <w:rsid w:val="00224CAC"/>
    <w:rsid w:val="00225A25"/>
    <w:rsid w:val="0022657A"/>
    <w:rsid w:val="00226FD1"/>
    <w:rsid w:val="00232C1C"/>
    <w:rsid w:val="002341DB"/>
    <w:rsid w:val="00234301"/>
    <w:rsid w:val="00234C3C"/>
    <w:rsid w:val="002373E5"/>
    <w:rsid w:val="00241FA7"/>
    <w:rsid w:val="002461B4"/>
    <w:rsid w:val="002507DD"/>
    <w:rsid w:val="00250F51"/>
    <w:rsid w:val="00261C37"/>
    <w:rsid w:val="00263DAA"/>
    <w:rsid w:val="00266F39"/>
    <w:rsid w:val="00270961"/>
    <w:rsid w:val="00270E1E"/>
    <w:rsid w:val="00273195"/>
    <w:rsid w:val="0027389D"/>
    <w:rsid w:val="00273E23"/>
    <w:rsid w:val="00274B5A"/>
    <w:rsid w:val="0027552F"/>
    <w:rsid w:val="00277BD5"/>
    <w:rsid w:val="00280B0A"/>
    <w:rsid w:val="0028446C"/>
    <w:rsid w:val="0028540E"/>
    <w:rsid w:val="00286531"/>
    <w:rsid w:val="00287C91"/>
    <w:rsid w:val="002951D2"/>
    <w:rsid w:val="00296AAD"/>
    <w:rsid w:val="002A1F2F"/>
    <w:rsid w:val="002A335E"/>
    <w:rsid w:val="002A7FCA"/>
    <w:rsid w:val="002B100F"/>
    <w:rsid w:val="002B1613"/>
    <w:rsid w:val="002B17DF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E160C"/>
    <w:rsid w:val="002E4086"/>
    <w:rsid w:val="002F2A73"/>
    <w:rsid w:val="002F30F9"/>
    <w:rsid w:val="002F3FBC"/>
    <w:rsid w:val="002F460D"/>
    <w:rsid w:val="002F5678"/>
    <w:rsid w:val="002F5985"/>
    <w:rsid w:val="002F73B6"/>
    <w:rsid w:val="002F7E2C"/>
    <w:rsid w:val="003044D6"/>
    <w:rsid w:val="003057A4"/>
    <w:rsid w:val="00314112"/>
    <w:rsid w:val="00314954"/>
    <w:rsid w:val="00316195"/>
    <w:rsid w:val="003230A7"/>
    <w:rsid w:val="00326256"/>
    <w:rsid w:val="0032644C"/>
    <w:rsid w:val="00326623"/>
    <w:rsid w:val="00331F7B"/>
    <w:rsid w:val="00334461"/>
    <w:rsid w:val="0033555A"/>
    <w:rsid w:val="003360DE"/>
    <w:rsid w:val="003407EC"/>
    <w:rsid w:val="00340FB2"/>
    <w:rsid w:val="00343A12"/>
    <w:rsid w:val="00352570"/>
    <w:rsid w:val="00352F09"/>
    <w:rsid w:val="003534C6"/>
    <w:rsid w:val="00357935"/>
    <w:rsid w:val="00360093"/>
    <w:rsid w:val="00361852"/>
    <w:rsid w:val="00365FC1"/>
    <w:rsid w:val="003702C5"/>
    <w:rsid w:val="0037374E"/>
    <w:rsid w:val="003742BE"/>
    <w:rsid w:val="00383FE4"/>
    <w:rsid w:val="0038439E"/>
    <w:rsid w:val="003876A7"/>
    <w:rsid w:val="0039716B"/>
    <w:rsid w:val="003A0815"/>
    <w:rsid w:val="003A0F77"/>
    <w:rsid w:val="003A27C9"/>
    <w:rsid w:val="003A3A0B"/>
    <w:rsid w:val="003A5030"/>
    <w:rsid w:val="003A5BB4"/>
    <w:rsid w:val="003A5D8E"/>
    <w:rsid w:val="003B2684"/>
    <w:rsid w:val="003B36BC"/>
    <w:rsid w:val="003B435F"/>
    <w:rsid w:val="003B78B3"/>
    <w:rsid w:val="003D38C9"/>
    <w:rsid w:val="003D4CA3"/>
    <w:rsid w:val="003D7317"/>
    <w:rsid w:val="003D79C3"/>
    <w:rsid w:val="003E05B3"/>
    <w:rsid w:val="003E254A"/>
    <w:rsid w:val="003E6E7A"/>
    <w:rsid w:val="003F17FC"/>
    <w:rsid w:val="003F4B8C"/>
    <w:rsid w:val="003F6374"/>
    <w:rsid w:val="00401471"/>
    <w:rsid w:val="004043A3"/>
    <w:rsid w:val="00405379"/>
    <w:rsid w:val="0041162D"/>
    <w:rsid w:val="004146EA"/>
    <w:rsid w:val="0042141F"/>
    <w:rsid w:val="00424FE8"/>
    <w:rsid w:val="00427FA6"/>
    <w:rsid w:val="00433F80"/>
    <w:rsid w:val="00435549"/>
    <w:rsid w:val="004372E7"/>
    <w:rsid w:val="004374D5"/>
    <w:rsid w:val="00440154"/>
    <w:rsid w:val="00446020"/>
    <w:rsid w:val="00450795"/>
    <w:rsid w:val="004510DB"/>
    <w:rsid w:val="00454DB2"/>
    <w:rsid w:val="00457819"/>
    <w:rsid w:val="004603A0"/>
    <w:rsid w:val="00460D48"/>
    <w:rsid w:val="00461B9D"/>
    <w:rsid w:val="00465598"/>
    <w:rsid w:val="00465869"/>
    <w:rsid w:val="00466387"/>
    <w:rsid w:val="004663E9"/>
    <w:rsid w:val="00475102"/>
    <w:rsid w:val="00475ACB"/>
    <w:rsid w:val="00481CD4"/>
    <w:rsid w:val="00485DFE"/>
    <w:rsid w:val="00491563"/>
    <w:rsid w:val="004918C7"/>
    <w:rsid w:val="00492011"/>
    <w:rsid w:val="00492F1D"/>
    <w:rsid w:val="00494D34"/>
    <w:rsid w:val="0049655E"/>
    <w:rsid w:val="00497C20"/>
    <w:rsid w:val="004A0D58"/>
    <w:rsid w:val="004A1EAD"/>
    <w:rsid w:val="004B2E77"/>
    <w:rsid w:val="004B4F60"/>
    <w:rsid w:val="004C0D29"/>
    <w:rsid w:val="004C17DE"/>
    <w:rsid w:val="004C40C2"/>
    <w:rsid w:val="004C5926"/>
    <w:rsid w:val="004D1190"/>
    <w:rsid w:val="004D1BC0"/>
    <w:rsid w:val="004D23DB"/>
    <w:rsid w:val="004D2646"/>
    <w:rsid w:val="004D6C93"/>
    <w:rsid w:val="004E1E32"/>
    <w:rsid w:val="004E5277"/>
    <w:rsid w:val="004E54B4"/>
    <w:rsid w:val="004E5CE3"/>
    <w:rsid w:val="004E7156"/>
    <w:rsid w:val="004F00A5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3228"/>
    <w:rsid w:val="00526CB7"/>
    <w:rsid w:val="0053004B"/>
    <w:rsid w:val="00536A64"/>
    <w:rsid w:val="0054136F"/>
    <w:rsid w:val="00543795"/>
    <w:rsid w:val="00543CF5"/>
    <w:rsid w:val="00545E13"/>
    <w:rsid w:val="005461C5"/>
    <w:rsid w:val="00547643"/>
    <w:rsid w:val="00552845"/>
    <w:rsid w:val="00552CCE"/>
    <w:rsid w:val="005607A2"/>
    <w:rsid w:val="00560952"/>
    <w:rsid w:val="005705EF"/>
    <w:rsid w:val="00575285"/>
    <w:rsid w:val="005760E7"/>
    <w:rsid w:val="00576297"/>
    <w:rsid w:val="00576E53"/>
    <w:rsid w:val="005821FD"/>
    <w:rsid w:val="00587993"/>
    <w:rsid w:val="00595ADF"/>
    <w:rsid w:val="00595B8C"/>
    <w:rsid w:val="00596F71"/>
    <w:rsid w:val="0059738C"/>
    <w:rsid w:val="005A1243"/>
    <w:rsid w:val="005A4880"/>
    <w:rsid w:val="005A5662"/>
    <w:rsid w:val="005B0D9E"/>
    <w:rsid w:val="005B1C13"/>
    <w:rsid w:val="005B65BE"/>
    <w:rsid w:val="005C06CF"/>
    <w:rsid w:val="005C458A"/>
    <w:rsid w:val="005C5A39"/>
    <w:rsid w:val="005C6EA5"/>
    <w:rsid w:val="005C6FCA"/>
    <w:rsid w:val="005D26A2"/>
    <w:rsid w:val="005D3BD1"/>
    <w:rsid w:val="005D5012"/>
    <w:rsid w:val="005D61DD"/>
    <w:rsid w:val="005D63D4"/>
    <w:rsid w:val="005D7566"/>
    <w:rsid w:val="005E33A5"/>
    <w:rsid w:val="005E4320"/>
    <w:rsid w:val="005E6EAA"/>
    <w:rsid w:val="005F00A0"/>
    <w:rsid w:val="005F0942"/>
    <w:rsid w:val="005F1420"/>
    <w:rsid w:val="005F1DF5"/>
    <w:rsid w:val="005F3728"/>
    <w:rsid w:val="00605BCB"/>
    <w:rsid w:val="0060630E"/>
    <w:rsid w:val="0061186E"/>
    <w:rsid w:val="0061494A"/>
    <w:rsid w:val="00622153"/>
    <w:rsid w:val="00622859"/>
    <w:rsid w:val="00624232"/>
    <w:rsid w:val="00635AD4"/>
    <w:rsid w:val="00635B92"/>
    <w:rsid w:val="00636BD3"/>
    <w:rsid w:val="00645F7D"/>
    <w:rsid w:val="0065053C"/>
    <w:rsid w:val="0065575B"/>
    <w:rsid w:val="0066024B"/>
    <w:rsid w:val="00660FB5"/>
    <w:rsid w:val="006636E8"/>
    <w:rsid w:val="0066667D"/>
    <w:rsid w:val="0067485E"/>
    <w:rsid w:val="00676A19"/>
    <w:rsid w:val="00682FB8"/>
    <w:rsid w:val="006858F5"/>
    <w:rsid w:val="00692A24"/>
    <w:rsid w:val="00693C93"/>
    <w:rsid w:val="006940D2"/>
    <w:rsid w:val="00694703"/>
    <w:rsid w:val="00696318"/>
    <w:rsid w:val="006A07EB"/>
    <w:rsid w:val="006A740B"/>
    <w:rsid w:val="006A7DFF"/>
    <w:rsid w:val="006B2AC8"/>
    <w:rsid w:val="006C0D4C"/>
    <w:rsid w:val="006D091F"/>
    <w:rsid w:val="006D38BD"/>
    <w:rsid w:val="006D58CB"/>
    <w:rsid w:val="006E336C"/>
    <w:rsid w:val="006E4489"/>
    <w:rsid w:val="006E5491"/>
    <w:rsid w:val="006E5525"/>
    <w:rsid w:val="006E7821"/>
    <w:rsid w:val="006F1381"/>
    <w:rsid w:val="006F1C26"/>
    <w:rsid w:val="006F4D42"/>
    <w:rsid w:val="006F638C"/>
    <w:rsid w:val="00713038"/>
    <w:rsid w:val="00714158"/>
    <w:rsid w:val="0071486A"/>
    <w:rsid w:val="007172F5"/>
    <w:rsid w:val="00720270"/>
    <w:rsid w:val="00720296"/>
    <w:rsid w:val="00723566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3E31"/>
    <w:rsid w:val="007543E6"/>
    <w:rsid w:val="00760116"/>
    <w:rsid w:val="00760216"/>
    <w:rsid w:val="00761950"/>
    <w:rsid w:val="00763C50"/>
    <w:rsid w:val="00763D8B"/>
    <w:rsid w:val="00766C69"/>
    <w:rsid w:val="00770ED5"/>
    <w:rsid w:val="00771D06"/>
    <w:rsid w:val="00773AA9"/>
    <w:rsid w:val="00773B7F"/>
    <w:rsid w:val="00775BC1"/>
    <w:rsid w:val="0077648C"/>
    <w:rsid w:val="00781083"/>
    <w:rsid w:val="00781163"/>
    <w:rsid w:val="00787299"/>
    <w:rsid w:val="007910DA"/>
    <w:rsid w:val="00793650"/>
    <w:rsid w:val="0079367F"/>
    <w:rsid w:val="007958E7"/>
    <w:rsid w:val="00796227"/>
    <w:rsid w:val="007964BC"/>
    <w:rsid w:val="007A2ABB"/>
    <w:rsid w:val="007A4C41"/>
    <w:rsid w:val="007B21FE"/>
    <w:rsid w:val="007B3589"/>
    <w:rsid w:val="007B4066"/>
    <w:rsid w:val="007B5328"/>
    <w:rsid w:val="007B5B4E"/>
    <w:rsid w:val="007B6ED6"/>
    <w:rsid w:val="007B7088"/>
    <w:rsid w:val="007C266A"/>
    <w:rsid w:val="007D0E49"/>
    <w:rsid w:val="007D512F"/>
    <w:rsid w:val="007D57E1"/>
    <w:rsid w:val="007D5C76"/>
    <w:rsid w:val="007D64A3"/>
    <w:rsid w:val="007E1E8F"/>
    <w:rsid w:val="007E2C82"/>
    <w:rsid w:val="007E3457"/>
    <w:rsid w:val="007E34D7"/>
    <w:rsid w:val="007E41AD"/>
    <w:rsid w:val="007E63E8"/>
    <w:rsid w:val="007F2A2C"/>
    <w:rsid w:val="007F6992"/>
    <w:rsid w:val="00802036"/>
    <w:rsid w:val="00806441"/>
    <w:rsid w:val="00807212"/>
    <w:rsid w:val="008158B5"/>
    <w:rsid w:val="008220E1"/>
    <w:rsid w:val="00825685"/>
    <w:rsid w:val="00827583"/>
    <w:rsid w:val="0083097D"/>
    <w:rsid w:val="0083145B"/>
    <w:rsid w:val="00833178"/>
    <w:rsid w:val="00833323"/>
    <w:rsid w:val="00836EED"/>
    <w:rsid w:val="00837F49"/>
    <w:rsid w:val="0084221B"/>
    <w:rsid w:val="008436FE"/>
    <w:rsid w:val="00844CC0"/>
    <w:rsid w:val="00846F13"/>
    <w:rsid w:val="008475C7"/>
    <w:rsid w:val="00850592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36A0"/>
    <w:rsid w:val="00886F69"/>
    <w:rsid w:val="008929CB"/>
    <w:rsid w:val="00897D10"/>
    <w:rsid w:val="00897D73"/>
    <w:rsid w:val="008A224C"/>
    <w:rsid w:val="008A26A2"/>
    <w:rsid w:val="008B169C"/>
    <w:rsid w:val="008B2BAB"/>
    <w:rsid w:val="008B3235"/>
    <w:rsid w:val="008B633A"/>
    <w:rsid w:val="008B7F45"/>
    <w:rsid w:val="008C14FF"/>
    <w:rsid w:val="008C32D8"/>
    <w:rsid w:val="008C5C7E"/>
    <w:rsid w:val="008C7B2B"/>
    <w:rsid w:val="008D050E"/>
    <w:rsid w:val="008D4FC2"/>
    <w:rsid w:val="008E11BF"/>
    <w:rsid w:val="008E346D"/>
    <w:rsid w:val="008E4DF9"/>
    <w:rsid w:val="008F004A"/>
    <w:rsid w:val="008F056E"/>
    <w:rsid w:val="008F153F"/>
    <w:rsid w:val="008F49C4"/>
    <w:rsid w:val="008F4EF5"/>
    <w:rsid w:val="008F554D"/>
    <w:rsid w:val="00905465"/>
    <w:rsid w:val="009055E9"/>
    <w:rsid w:val="009069C5"/>
    <w:rsid w:val="00912CE8"/>
    <w:rsid w:val="00915B91"/>
    <w:rsid w:val="00915E09"/>
    <w:rsid w:val="0092046C"/>
    <w:rsid w:val="00920EE9"/>
    <w:rsid w:val="00922474"/>
    <w:rsid w:val="00922A28"/>
    <w:rsid w:val="00922EDD"/>
    <w:rsid w:val="009236C1"/>
    <w:rsid w:val="00925AA8"/>
    <w:rsid w:val="00926586"/>
    <w:rsid w:val="009328A9"/>
    <w:rsid w:val="009334A2"/>
    <w:rsid w:val="009348FE"/>
    <w:rsid w:val="0093507C"/>
    <w:rsid w:val="00935515"/>
    <w:rsid w:val="00936117"/>
    <w:rsid w:val="0094179D"/>
    <w:rsid w:val="00944196"/>
    <w:rsid w:val="0094524B"/>
    <w:rsid w:val="00946BCB"/>
    <w:rsid w:val="009477C2"/>
    <w:rsid w:val="00953AF1"/>
    <w:rsid w:val="009602B4"/>
    <w:rsid w:val="009614D6"/>
    <w:rsid w:val="00961D5B"/>
    <w:rsid w:val="00961F71"/>
    <w:rsid w:val="00962B36"/>
    <w:rsid w:val="00971007"/>
    <w:rsid w:val="0097314C"/>
    <w:rsid w:val="00973336"/>
    <w:rsid w:val="00975EFD"/>
    <w:rsid w:val="00976257"/>
    <w:rsid w:val="00982C10"/>
    <w:rsid w:val="009864B3"/>
    <w:rsid w:val="00987023"/>
    <w:rsid w:val="00987612"/>
    <w:rsid w:val="00996339"/>
    <w:rsid w:val="009A1B50"/>
    <w:rsid w:val="009A5DC6"/>
    <w:rsid w:val="009B0990"/>
    <w:rsid w:val="009B12FA"/>
    <w:rsid w:val="009B259A"/>
    <w:rsid w:val="009B5806"/>
    <w:rsid w:val="009C370C"/>
    <w:rsid w:val="009C3CD3"/>
    <w:rsid w:val="009C662C"/>
    <w:rsid w:val="009C7BC6"/>
    <w:rsid w:val="009D09CD"/>
    <w:rsid w:val="009D1685"/>
    <w:rsid w:val="009D199D"/>
    <w:rsid w:val="009D3220"/>
    <w:rsid w:val="009D334E"/>
    <w:rsid w:val="009D77BA"/>
    <w:rsid w:val="009E001A"/>
    <w:rsid w:val="009E3593"/>
    <w:rsid w:val="009E42E7"/>
    <w:rsid w:val="009E4FBD"/>
    <w:rsid w:val="009E5490"/>
    <w:rsid w:val="009E72E0"/>
    <w:rsid w:val="009F27C1"/>
    <w:rsid w:val="009F2AA1"/>
    <w:rsid w:val="00A00627"/>
    <w:rsid w:val="00A0250D"/>
    <w:rsid w:val="00A07060"/>
    <w:rsid w:val="00A1469F"/>
    <w:rsid w:val="00A15144"/>
    <w:rsid w:val="00A20208"/>
    <w:rsid w:val="00A261E2"/>
    <w:rsid w:val="00A33587"/>
    <w:rsid w:val="00A348ED"/>
    <w:rsid w:val="00A43362"/>
    <w:rsid w:val="00A463BE"/>
    <w:rsid w:val="00A505D2"/>
    <w:rsid w:val="00A50960"/>
    <w:rsid w:val="00A53457"/>
    <w:rsid w:val="00A55136"/>
    <w:rsid w:val="00A5606F"/>
    <w:rsid w:val="00A62C16"/>
    <w:rsid w:val="00A642AE"/>
    <w:rsid w:val="00A64682"/>
    <w:rsid w:val="00A66718"/>
    <w:rsid w:val="00A7145F"/>
    <w:rsid w:val="00A74E7F"/>
    <w:rsid w:val="00A75DD1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31C"/>
    <w:rsid w:val="00AB5E7D"/>
    <w:rsid w:val="00AB5ED4"/>
    <w:rsid w:val="00AC3BA1"/>
    <w:rsid w:val="00AC4BA8"/>
    <w:rsid w:val="00AD0239"/>
    <w:rsid w:val="00AD2FC2"/>
    <w:rsid w:val="00AD5175"/>
    <w:rsid w:val="00AE4F49"/>
    <w:rsid w:val="00AE687E"/>
    <w:rsid w:val="00AE6951"/>
    <w:rsid w:val="00AE6D3E"/>
    <w:rsid w:val="00AF4C87"/>
    <w:rsid w:val="00AF6AA6"/>
    <w:rsid w:val="00B000EB"/>
    <w:rsid w:val="00B002F7"/>
    <w:rsid w:val="00B024CE"/>
    <w:rsid w:val="00B02F2C"/>
    <w:rsid w:val="00B04CC1"/>
    <w:rsid w:val="00B04D1C"/>
    <w:rsid w:val="00B04FDE"/>
    <w:rsid w:val="00B0774E"/>
    <w:rsid w:val="00B11CE6"/>
    <w:rsid w:val="00B120C9"/>
    <w:rsid w:val="00B12A16"/>
    <w:rsid w:val="00B14031"/>
    <w:rsid w:val="00B14ED1"/>
    <w:rsid w:val="00B177D5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4E99"/>
    <w:rsid w:val="00B551DC"/>
    <w:rsid w:val="00B5570A"/>
    <w:rsid w:val="00B56442"/>
    <w:rsid w:val="00B57E23"/>
    <w:rsid w:val="00B60266"/>
    <w:rsid w:val="00B608C9"/>
    <w:rsid w:val="00B61B9B"/>
    <w:rsid w:val="00B63B10"/>
    <w:rsid w:val="00B65614"/>
    <w:rsid w:val="00B65AB2"/>
    <w:rsid w:val="00B6666B"/>
    <w:rsid w:val="00B71C0E"/>
    <w:rsid w:val="00B71D03"/>
    <w:rsid w:val="00B73E64"/>
    <w:rsid w:val="00B861D4"/>
    <w:rsid w:val="00B86B3A"/>
    <w:rsid w:val="00B91DB3"/>
    <w:rsid w:val="00B95899"/>
    <w:rsid w:val="00B9674D"/>
    <w:rsid w:val="00B9795A"/>
    <w:rsid w:val="00BA2A2E"/>
    <w:rsid w:val="00BA3DF6"/>
    <w:rsid w:val="00BA4484"/>
    <w:rsid w:val="00BA6C18"/>
    <w:rsid w:val="00BB213F"/>
    <w:rsid w:val="00BB3606"/>
    <w:rsid w:val="00BB539C"/>
    <w:rsid w:val="00BB684D"/>
    <w:rsid w:val="00BC172A"/>
    <w:rsid w:val="00BC4CED"/>
    <w:rsid w:val="00BD0273"/>
    <w:rsid w:val="00BD0316"/>
    <w:rsid w:val="00BD1C0C"/>
    <w:rsid w:val="00BD202F"/>
    <w:rsid w:val="00BD5669"/>
    <w:rsid w:val="00BD5ABF"/>
    <w:rsid w:val="00BD700E"/>
    <w:rsid w:val="00BD7CF8"/>
    <w:rsid w:val="00BE071F"/>
    <w:rsid w:val="00BE0879"/>
    <w:rsid w:val="00BE586C"/>
    <w:rsid w:val="00BE5CBA"/>
    <w:rsid w:val="00BF0A4B"/>
    <w:rsid w:val="00BF2C6B"/>
    <w:rsid w:val="00BF4CA7"/>
    <w:rsid w:val="00C04192"/>
    <w:rsid w:val="00C060EA"/>
    <w:rsid w:val="00C13D89"/>
    <w:rsid w:val="00C14AE3"/>
    <w:rsid w:val="00C15A01"/>
    <w:rsid w:val="00C15B78"/>
    <w:rsid w:val="00C164ED"/>
    <w:rsid w:val="00C16871"/>
    <w:rsid w:val="00C16D67"/>
    <w:rsid w:val="00C2138E"/>
    <w:rsid w:val="00C22D6A"/>
    <w:rsid w:val="00C272B0"/>
    <w:rsid w:val="00C322A4"/>
    <w:rsid w:val="00C33652"/>
    <w:rsid w:val="00C34678"/>
    <w:rsid w:val="00C349E9"/>
    <w:rsid w:val="00C44C84"/>
    <w:rsid w:val="00C52D54"/>
    <w:rsid w:val="00C54097"/>
    <w:rsid w:val="00C55348"/>
    <w:rsid w:val="00C57514"/>
    <w:rsid w:val="00C577C2"/>
    <w:rsid w:val="00C57E8B"/>
    <w:rsid w:val="00C642BC"/>
    <w:rsid w:val="00C652C6"/>
    <w:rsid w:val="00C705F2"/>
    <w:rsid w:val="00C711C1"/>
    <w:rsid w:val="00C71F2F"/>
    <w:rsid w:val="00C722DF"/>
    <w:rsid w:val="00C82805"/>
    <w:rsid w:val="00C874C3"/>
    <w:rsid w:val="00C87B99"/>
    <w:rsid w:val="00C94E67"/>
    <w:rsid w:val="00CA0043"/>
    <w:rsid w:val="00CA28C4"/>
    <w:rsid w:val="00CB0A2C"/>
    <w:rsid w:val="00CB2AB8"/>
    <w:rsid w:val="00CB7978"/>
    <w:rsid w:val="00CB7B11"/>
    <w:rsid w:val="00CC187C"/>
    <w:rsid w:val="00CC33A4"/>
    <w:rsid w:val="00CC6510"/>
    <w:rsid w:val="00CC7F8A"/>
    <w:rsid w:val="00CD3E7E"/>
    <w:rsid w:val="00CD60C6"/>
    <w:rsid w:val="00CE16AF"/>
    <w:rsid w:val="00CE4000"/>
    <w:rsid w:val="00CE574F"/>
    <w:rsid w:val="00CE7740"/>
    <w:rsid w:val="00CF1423"/>
    <w:rsid w:val="00CF7C39"/>
    <w:rsid w:val="00D00156"/>
    <w:rsid w:val="00D07463"/>
    <w:rsid w:val="00D10CE5"/>
    <w:rsid w:val="00D35EF8"/>
    <w:rsid w:val="00D361FA"/>
    <w:rsid w:val="00D36278"/>
    <w:rsid w:val="00D37682"/>
    <w:rsid w:val="00D41EEC"/>
    <w:rsid w:val="00D4476E"/>
    <w:rsid w:val="00D465E4"/>
    <w:rsid w:val="00D478BF"/>
    <w:rsid w:val="00D47B38"/>
    <w:rsid w:val="00D51594"/>
    <w:rsid w:val="00D536E6"/>
    <w:rsid w:val="00D602F8"/>
    <w:rsid w:val="00D61AEC"/>
    <w:rsid w:val="00D74DD1"/>
    <w:rsid w:val="00D751CB"/>
    <w:rsid w:val="00D75924"/>
    <w:rsid w:val="00D86000"/>
    <w:rsid w:val="00D86DA7"/>
    <w:rsid w:val="00D91375"/>
    <w:rsid w:val="00D91AB4"/>
    <w:rsid w:val="00D968D4"/>
    <w:rsid w:val="00DA0AB4"/>
    <w:rsid w:val="00DA0F48"/>
    <w:rsid w:val="00DA12D3"/>
    <w:rsid w:val="00DA6F2E"/>
    <w:rsid w:val="00DA73FC"/>
    <w:rsid w:val="00DB1B53"/>
    <w:rsid w:val="00DB5EAE"/>
    <w:rsid w:val="00DC0F3D"/>
    <w:rsid w:val="00DC3238"/>
    <w:rsid w:val="00DC355D"/>
    <w:rsid w:val="00DC447C"/>
    <w:rsid w:val="00DC448B"/>
    <w:rsid w:val="00DC7A5D"/>
    <w:rsid w:val="00DC7C49"/>
    <w:rsid w:val="00DD08EF"/>
    <w:rsid w:val="00DD1539"/>
    <w:rsid w:val="00DE2CC5"/>
    <w:rsid w:val="00DF0533"/>
    <w:rsid w:val="00DF18F1"/>
    <w:rsid w:val="00DF39B6"/>
    <w:rsid w:val="00DF4AB1"/>
    <w:rsid w:val="00DF7CD8"/>
    <w:rsid w:val="00E004D5"/>
    <w:rsid w:val="00E03032"/>
    <w:rsid w:val="00E12B69"/>
    <w:rsid w:val="00E1361D"/>
    <w:rsid w:val="00E150CE"/>
    <w:rsid w:val="00E21009"/>
    <w:rsid w:val="00E30DEA"/>
    <w:rsid w:val="00E31F13"/>
    <w:rsid w:val="00E3607C"/>
    <w:rsid w:val="00E50E84"/>
    <w:rsid w:val="00E529E4"/>
    <w:rsid w:val="00E5472A"/>
    <w:rsid w:val="00E54C22"/>
    <w:rsid w:val="00E56C15"/>
    <w:rsid w:val="00E64F66"/>
    <w:rsid w:val="00E67AE0"/>
    <w:rsid w:val="00E744D6"/>
    <w:rsid w:val="00E74EB5"/>
    <w:rsid w:val="00E769BE"/>
    <w:rsid w:val="00E77299"/>
    <w:rsid w:val="00E77528"/>
    <w:rsid w:val="00E776D5"/>
    <w:rsid w:val="00E81DE7"/>
    <w:rsid w:val="00E83177"/>
    <w:rsid w:val="00E84186"/>
    <w:rsid w:val="00E8438B"/>
    <w:rsid w:val="00E87A3C"/>
    <w:rsid w:val="00E9038C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6C"/>
    <w:rsid w:val="00EA7470"/>
    <w:rsid w:val="00EB051F"/>
    <w:rsid w:val="00EB0BD7"/>
    <w:rsid w:val="00EB14C2"/>
    <w:rsid w:val="00EB246B"/>
    <w:rsid w:val="00EB3808"/>
    <w:rsid w:val="00EB3F87"/>
    <w:rsid w:val="00EB3F93"/>
    <w:rsid w:val="00EB44D8"/>
    <w:rsid w:val="00EB572A"/>
    <w:rsid w:val="00EB5907"/>
    <w:rsid w:val="00EC637E"/>
    <w:rsid w:val="00EC7401"/>
    <w:rsid w:val="00ED3100"/>
    <w:rsid w:val="00ED3B5C"/>
    <w:rsid w:val="00ED5C1B"/>
    <w:rsid w:val="00ED7DEE"/>
    <w:rsid w:val="00EE6195"/>
    <w:rsid w:val="00EE775F"/>
    <w:rsid w:val="00EF0FC1"/>
    <w:rsid w:val="00EF1DBB"/>
    <w:rsid w:val="00F07607"/>
    <w:rsid w:val="00F13053"/>
    <w:rsid w:val="00F17144"/>
    <w:rsid w:val="00F21D7D"/>
    <w:rsid w:val="00F31A86"/>
    <w:rsid w:val="00F34317"/>
    <w:rsid w:val="00F36420"/>
    <w:rsid w:val="00F37929"/>
    <w:rsid w:val="00F4165A"/>
    <w:rsid w:val="00F426A0"/>
    <w:rsid w:val="00F44636"/>
    <w:rsid w:val="00F44A70"/>
    <w:rsid w:val="00F530AB"/>
    <w:rsid w:val="00F535C2"/>
    <w:rsid w:val="00F539DF"/>
    <w:rsid w:val="00F565BF"/>
    <w:rsid w:val="00F56D2C"/>
    <w:rsid w:val="00F6052C"/>
    <w:rsid w:val="00F607E9"/>
    <w:rsid w:val="00F60FD9"/>
    <w:rsid w:val="00F67020"/>
    <w:rsid w:val="00F67526"/>
    <w:rsid w:val="00F72114"/>
    <w:rsid w:val="00F86F51"/>
    <w:rsid w:val="00F910BF"/>
    <w:rsid w:val="00F91317"/>
    <w:rsid w:val="00F921CC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D64EB"/>
    <w:rsid w:val="00FD656C"/>
    <w:rsid w:val="00FE0EC5"/>
    <w:rsid w:val="00FE3BC0"/>
    <w:rsid w:val="00FE5791"/>
    <w:rsid w:val="00FF4D39"/>
    <w:rsid w:val="00FF54F2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исполнение на 01.04.2017</c:v>
                </c:pt>
                <c:pt idx="1">
                  <c:v>исполнение на 01.04.2018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165878.6</c:v>
                </c:pt>
                <c:pt idx="1">
                  <c:v>186372.7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386816"/>
        <c:axId val="30388608"/>
        <c:axId val="0"/>
      </c:bar3DChart>
      <c:catAx>
        <c:axId val="3038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30388608"/>
        <c:crosses val="autoZero"/>
        <c:auto val="1"/>
        <c:lblAlgn val="ctr"/>
        <c:lblOffset val="100"/>
        <c:noMultiLvlLbl val="0"/>
      </c:catAx>
      <c:valAx>
        <c:axId val="3038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86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исполнение на 01.04.2017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01.01.2016'!$K$33:$L$33</c:f>
              <c:numCache>
                <c:formatCode>General</c:formatCode>
                <c:ptCount val="2"/>
                <c:pt idx="0">
                  <c:v>160564.29999999999</c:v>
                </c:pt>
              </c:numCache>
            </c:numRef>
          </c:val>
        </c:ser>
        <c:ser>
          <c:idx val="1"/>
          <c:order val="1"/>
          <c:tx>
            <c:v>исполнение на 01.04.2018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01.01.2016'!$K$34:$L$34</c:f>
              <c:numCache>
                <c:formatCode>General</c:formatCode>
                <c:ptCount val="2"/>
                <c:pt idx="1">
                  <c:v>157746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6026752"/>
        <c:axId val="26028288"/>
        <c:axId val="0"/>
      </c:bar3DChart>
      <c:catAx>
        <c:axId val="26026752"/>
        <c:scaling>
          <c:orientation val="minMax"/>
        </c:scaling>
        <c:delete val="1"/>
        <c:axPos val="b"/>
        <c:majorTickMark val="none"/>
        <c:minorTickMark val="none"/>
        <c:tickLblPos val="low"/>
        <c:crossAx val="26028288"/>
        <c:crosses val="autoZero"/>
        <c:auto val="0"/>
        <c:lblAlgn val="ctr"/>
        <c:lblOffset val="100"/>
        <c:noMultiLvlLbl val="0"/>
      </c:catAx>
      <c:valAx>
        <c:axId val="26028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60267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594E-2"/>
          <c:y val="0.30682680229173714"/>
          <c:w val="0.77190330340593893"/>
          <c:h val="0.5156696852582143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869754052028981"/>
                  <c:y val="-0.19396427586629514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Налоговые доходы
28,0%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700374640148292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Неналоговые доходы
6,6%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378163080199307E-2"/>
                  <c:y val="-0.49600465959552631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65,4%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0.185</c:v>
                </c:pt>
                <c:pt idx="1">
                  <c:v>2.1000000000000001E-2</c:v>
                </c:pt>
                <c:pt idx="2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424"/>
          <c:y val="0.35606126461378546"/>
          <c:w val="0.43032376838133257"/>
          <c:h val="0.28977326322292146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9463228599522661"/>
                  <c:y val="-0.19100930565497495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0,4%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88"/>
                  <c:y val="-0.26447001758252631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4,3%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13730406604208E-2"/>
                  <c:y val="0.20253631662378838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15,4%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0460212026569305"/>
                  <c:y val="0.28948416101452668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24,5%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55,4%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8.9</c:v>
                </c:pt>
                <c:pt idx="1">
                  <c:v>7.9</c:v>
                </c:pt>
                <c:pt idx="2">
                  <c:v>5.5</c:v>
                </c:pt>
                <c:pt idx="3">
                  <c:v>10</c:v>
                </c:pt>
                <c:pt idx="4">
                  <c:v>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неналоговый поступления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01.02.2018</c:v>
                </c:pt>
                <c:pt idx="1">
                  <c:v>на 01.03.2018</c:v>
                </c:pt>
                <c:pt idx="2">
                  <c:v>на 01.04.2018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22393478.02</c:v>
                </c:pt>
                <c:pt idx="1">
                  <c:v>13383333.09</c:v>
                </c:pt>
                <c:pt idx="2">
                  <c:v>4199025.1100000003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Финансовая помощь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01.02.2018</c:v>
                </c:pt>
                <c:pt idx="1">
                  <c:v>на 01.03.2018</c:v>
                </c:pt>
                <c:pt idx="2">
                  <c:v>на 01.04.2018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26300186.969999999</c:v>
                </c:pt>
                <c:pt idx="1">
                  <c:v>59899885.829999998</c:v>
                </c:pt>
                <c:pt idx="2">
                  <c:v>39705736.719999999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846144"/>
        <c:axId val="27847680"/>
        <c:axId val="0"/>
      </c:bar3DChart>
      <c:catAx>
        <c:axId val="2784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7847680"/>
        <c:crosses val="autoZero"/>
        <c:auto val="1"/>
        <c:lblAlgn val="ctr"/>
        <c:lblOffset val="100"/>
        <c:noMultiLvlLbl val="0"/>
      </c:catAx>
      <c:valAx>
        <c:axId val="2784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46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767863503228"/>
          <c:y val="0.12310578129719957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70,9 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4932546285013E-2"/>
                  <c:y val="0.23282906126095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11,2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13394817742644E-3"/>
                  <c:y val="-0.123775782516792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1,9 %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03E-2"/>
                  <c:y val="-7.55634432883526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15,9 %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экономика  0,1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02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285822967781202"/>
                  <c:y val="3.220042949176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01.01.2016'!$I$75:$I$81</c:f>
              <c:numCache>
                <c:formatCode>General</c:formatCode>
                <c:ptCount val="7"/>
                <c:pt idx="0">
                  <c:v>70.900000000000006</c:v>
                </c:pt>
                <c:pt idx="1">
                  <c:v>11.2</c:v>
                </c:pt>
                <c:pt idx="2">
                  <c:v>1.9</c:v>
                </c:pt>
                <c:pt idx="3">
                  <c:v>15.9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82E-2"/>
          <c:y val="9.2462419470293489E-2"/>
          <c:w val="0.9047930104627333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4395164411419083E-3"/>
                  <c:y val="-0.18638248858815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594034324799E-3"/>
                  <c:y val="-0.23864411447800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809874892959333E-5"/>
                  <c:y val="-0.272619305486442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533946550665909E-17"/>
                  <c:y val="-0.318169636690150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697979776656604E-3"/>
                  <c:y val="-0.15447437491366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264E-5"/>
                  <c:y val="-0.3709021546725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264338941546515E-3"/>
                  <c:y val="-0.29448208508820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6609320637245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519150949154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72189349112426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89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01.01.2016'!$E$98:$E$109</c:f>
              <c:numCache>
                <c:formatCode>mmm\-yy</c:formatCode>
                <c:ptCount val="1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</c:numCache>
            </c:numRef>
          </c:cat>
          <c:val>
            <c:numRef>
              <c:f>'на 01.01.2016'!$F$98:$F$109</c:f>
              <c:numCache>
                <c:formatCode>General</c:formatCode>
                <c:ptCount val="12"/>
                <c:pt idx="0">
                  <c:v>27792</c:v>
                </c:pt>
                <c:pt idx="1">
                  <c:v>34714.1</c:v>
                </c:pt>
                <c:pt idx="2">
                  <c:v>41189.9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908352"/>
        <c:axId val="30285824"/>
      </c:barChart>
      <c:dateAx>
        <c:axId val="279083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30285824"/>
        <c:crosses val="autoZero"/>
        <c:auto val="1"/>
        <c:lblOffset val="100"/>
        <c:baseTimeUnit val="months"/>
      </c:dateAx>
      <c:valAx>
        <c:axId val="3028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0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7139310028405832E-3"/>
                  <c:y val="-2.9363085100255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131105398457282E-2"/>
                  <c:y val="-6.2794338159213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275921165381321E-3"/>
                  <c:y val="-3.35296489192769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34554,2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989717223650512E-2"/>
                  <c:y val="-5.860804894859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37960582690661E-3"/>
                  <c:y val="-3.7715959486255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9417309340188583E-2"/>
                  <c:y val="-5.860804894859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75921165380064E-3"/>
                  <c:y val="-3.35230666699577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8552,9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7703513281919634E-2"/>
                  <c:y val="-6.2794338159213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272493573264767E-2"/>
                  <c:y val="-5.4421759737984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844901456726918E-2"/>
                  <c:y val="-5.0235470527370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703513281919634E-2"/>
                  <c:y val="-5.860804894859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9417309340188639E-2"/>
                  <c:y val="-4.6049181316756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848329048843211E-2"/>
                  <c:y val="-5.0235470527370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275921165381446E-2"/>
                  <c:y val="-5.015673981191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2562125107112254E-2"/>
                  <c:y val="-5.015673981191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0565552699228919E-2"/>
                  <c:y val="-5.433646812957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01.01.2016</c:v>
                </c:pt>
                <c:pt idx="2">
                  <c:v>на 01.01.2017</c:v>
                </c:pt>
                <c:pt idx="4">
                  <c:v>на 01.01.2018</c:v>
                </c:pt>
                <c:pt idx="6">
                  <c:v>на 01.04.2018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19794</c:v>
                </c:pt>
                <c:pt idx="2">
                  <c:v>34554.199999999997</c:v>
                </c:pt>
                <c:pt idx="4">
                  <c:v>20265.900000000001</c:v>
                </c:pt>
                <c:pt idx="6">
                  <c:v>18552.900000000001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97472"/>
        <c:axId val="25875584"/>
      </c:barChart>
      <c:catAx>
        <c:axId val="30297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75584"/>
        <c:crosses val="autoZero"/>
        <c:auto val="1"/>
        <c:lblAlgn val="ctr"/>
        <c:lblOffset val="100"/>
        <c:noMultiLvlLbl val="0"/>
      </c:catAx>
      <c:valAx>
        <c:axId val="2587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297472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3ED7-B62D-4CA6-8D27-8A131158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7</Pages>
  <Words>1102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Денис</cp:lastModifiedBy>
  <cp:revision>210</cp:revision>
  <cp:lastPrinted>2018-06-24T23:25:00Z</cp:lastPrinted>
  <dcterms:created xsi:type="dcterms:W3CDTF">2014-08-14T05:09:00Z</dcterms:created>
  <dcterms:modified xsi:type="dcterms:W3CDTF">2018-06-25T09:41:00Z</dcterms:modified>
</cp:coreProperties>
</file>