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 xml:space="preserve">Краткий анализ исполнения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5B1C1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DA0AB4">
        <w:rPr>
          <w:sz w:val="40"/>
          <w:szCs w:val="40"/>
        </w:rPr>
        <w:t>октября</w:t>
      </w:r>
      <w:r w:rsidRPr="007543E6">
        <w:rPr>
          <w:sz w:val="40"/>
          <w:szCs w:val="40"/>
        </w:rPr>
        <w:t xml:space="preserve"> 201</w:t>
      </w:r>
      <w:r w:rsidR="00A33587">
        <w:rPr>
          <w:sz w:val="40"/>
          <w:szCs w:val="40"/>
        </w:rPr>
        <w:t>5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FC7F83" w:rsidRPr="003F4B8C">
        <w:rPr>
          <w:b/>
          <w:bCs/>
        </w:rPr>
        <w:t>, 201</w:t>
      </w:r>
      <w:r w:rsidR="0079367F">
        <w:rPr>
          <w:b/>
          <w:bCs/>
        </w:rPr>
        <w:t>5</w:t>
      </w:r>
      <w:r w:rsidR="00B177D5">
        <w:rPr>
          <w:b/>
          <w:bCs/>
        </w:rPr>
        <w:t xml:space="preserve"> </w:t>
      </w:r>
      <w:r w:rsidR="00FC7F83" w:rsidRPr="003F4B8C">
        <w:rPr>
          <w:b/>
          <w:bCs/>
        </w:rPr>
        <w:t>г.</w:t>
      </w:r>
    </w:p>
    <w:tbl>
      <w:tblPr>
        <w:tblW w:w="21194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13"/>
        <w:gridCol w:w="11"/>
        <w:gridCol w:w="3828"/>
        <w:gridCol w:w="141"/>
        <w:gridCol w:w="709"/>
        <w:gridCol w:w="709"/>
        <w:gridCol w:w="250"/>
        <w:gridCol w:w="175"/>
        <w:gridCol w:w="1417"/>
        <w:gridCol w:w="244"/>
        <w:gridCol w:w="1032"/>
        <w:gridCol w:w="380"/>
        <w:gridCol w:w="896"/>
        <w:gridCol w:w="234"/>
        <w:gridCol w:w="1130"/>
        <w:gridCol w:w="29"/>
        <w:gridCol w:w="24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300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(</w:t>
            </w:r>
            <w:proofErr w:type="spellStart"/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уб</w:t>
            </w:r>
            <w:proofErr w:type="spellEnd"/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.)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8650CA" w:rsidP="00DA0AB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DA0AB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 w:rsidR="00FC7F83"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F44636"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F446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F446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43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F446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DA0AB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DA0AB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650CA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2B6BAD" w:rsidRDefault="008650CA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DA0AB4" w:rsidP="001335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791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705,1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5F00A0" w:rsidP="00102E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508 339,9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DA0AB4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  <w:r w:rsidR="00791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A" w:rsidRPr="00331F7B" w:rsidRDefault="00915B91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DA0AB4" w:rsidP="00CB7B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91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214,7</w:t>
            </w:r>
          </w:p>
        </w:tc>
      </w:tr>
      <w:tr w:rsidR="00B14031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2B6BAD" w:rsidRDefault="00B14031" w:rsidP="00B1403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6278" w:rsidRPr="00331F7B" w:rsidRDefault="007910DA" w:rsidP="005B1C1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374 287,6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7910DA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522 693,9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7910DA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408 581,7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031" w:rsidRPr="00331F7B" w:rsidRDefault="007910DA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78,2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7910DA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34 294,1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0109BF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17 417,5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5F00A0" w:rsidRDefault="00F21D7D" w:rsidP="00F21D7D">
            <w:pPr>
              <w:spacing w:after="0"/>
              <w:jc w:val="center"/>
              <w:rPr>
                <w:color w:val="000000" w:themeColor="text1"/>
              </w:rPr>
            </w:pPr>
            <w:r w:rsidRPr="005F00A0">
              <w:rPr>
                <w:color w:val="000000" w:themeColor="text1"/>
              </w:rPr>
              <w:t>14 354,0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9E3593" w:rsidRDefault="00E74EB5" w:rsidP="003E6E7A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13 338,1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 xml:space="preserve">Источники финансирования, в </w:t>
            </w:r>
            <w:proofErr w:type="spellStart"/>
            <w:r w:rsidRPr="002B6BAD">
              <w:rPr>
                <w:color w:val="000000"/>
                <w:lang w:eastAsia="ru-RU"/>
              </w:rPr>
              <w:t>т.ч</w:t>
            </w:r>
            <w:proofErr w:type="spellEnd"/>
            <w:r w:rsidRPr="002B6BAD">
              <w:rPr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1579F3" w:rsidP="000109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109BF">
              <w:rPr>
                <w:sz w:val="22"/>
                <w:szCs w:val="22"/>
              </w:rPr>
              <w:t>17 417,5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EB3F93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13 105,7</w:t>
            </w:r>
            <w:r w:rsidR="009055E9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9E3593" w:rsidRDefault="00EB3F93" w:rsidP="00E74EB5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  <w:r w:rsidR="00E74EB5">
              <w:rPr>
                <w:color w:val="000000"/>
              </w:rPr>
              <w:t>13 338,1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1579F3" w:rsidP="000109B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09BF">
              <w:rPr>
                <w:color w:val="000000"/>
              </w:rPr>
              <w:t>20 417,5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EB3F93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8 357,6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9E3593" w:rsidRDefault="00EB3F93" w:rsidP="00E74EB5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  <w:r w:rsidR="00E74EB5">
              <w:rPr>
                <w:color w:val="000000"/>
              </w:rPr>
              <w:t>12 725,3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0109BF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863D6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1 801,1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E74EB5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-1 225,6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0109BF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-3 000,0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731785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E74EB5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20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C7F83" w:rsidRPr="002B6BAD" w:rsidRDefault="00FC7F83" w:rsidP="00D74D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FC7F83" w:rsidRPr="00E004D5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169"/>
        </w:trPr>
        <w:tc>
          <w:tcPr>
            <w:tcW w:w="3828" w:type="dxa"/>
            <w:vMerge w:val="restart"/>
          </w:tcPr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83097D" w:rsidRPr="00405379" w:rsidTr="0083097D">
              <w:trPr>
                <w:trHeight w:val="4565"/>
              </w:trPr>
              <w:tc>
                <w:tcPr>
                  <w:tcW w:w="13440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83097D" w:rsidRPr="00BF0A4B" w:rsidRDefault="00DA0AB4" w:rsidP="008A224C">
                  <w:pPr>
                    <w:tabs>
                      <w:tab w:val="left" w:pos="3399"/>
                      <w:tab w:val="left" w:pos="3609"/>
                    </w:tabs>
                    <w:spacing w:after="0" w:line="240" w:lineRule="auto"/>
                    <w:ind w:left="-74" w:right="9612"/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</w:pPr>
                  <w:r w:rsidRPr="00DA0AB4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Консолидированный бюджет муниципального района "Забайкальский район" по доходам за 9 месяцев 2015</w:t>
                  </w:r>
                  <w:r w:rsidR="005607A2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DA0AB4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года исполнен в объеме 421</w:t>
                  </w:r>
                  <w:r w:rsidR="005607A2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DA0AB4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919,8 тыс. руб. или на 84,6% к утвержденным бюджетным назначениям на 2015 год, что на 30</w:t>
                  </w:r>
                  <w:r w:rsidR="005607A2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DA0AB4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214,7 тыс. руб. больше уровня прошлого года. Исполнение доходов по районному бюджету против уровня  2014 года увеличилось на 41</w:t>
                  </w:r>
                  <w:r w:rsidR="005607A2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DA0AB4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555,7 тыс. руб. Исполнение доходов бюджетов поселений по сравнению с аналогичным периодом 2014 года наблюдается уменьшение на 11</w:t>
                  </w:r>
                  <w:r w:rsidR="005607A2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DA0AB4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341,0 тыс. руб.  </w:t>
                  </w:r>
                </w:p>
              </w:tc>
            </w:tr>
          </w:tbl>
          <w:p w:rsidR="00FC7F83" w:rsidRPr="00E004D5" w:rsidRDefault="00FC7F83" w:rsidP="00E50E84">
            <w:pPr>
              <w:spacing w:after="0" w:line="192" w:lineRule="auto"/>
              <w:jc w:val="both"/>
              <w:rPr>
                <w:i/>
                <w:iCs/>
              </w:rPr>
            </w:pP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E004D5" w:rsidRDefault="00FC7F8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>Динамика объема доходов бюджетов разных уровней</w:t>
            </w:r>
          </w:p>
        </w:tc>
      </w:tr>
      <w:tr w:rsidR="00FC7F83" w:rsidRPr="002B6BAD" w:rsidTr="00DA0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88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FC7F83" w:rsidRPr="002B6BAD" w:rsidRDefault="00DA0AB4" w:rsidP="00B71D03">
            <w:pPr>
              <w:spacing w:after="0" w:line="240" w:lineRule="auto"/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76775" cy="311467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11198" w:type="dxa"/>
            <w:gridSpan w:val="15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FC7F83" w:rsidRPr="002B6BAD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3828" w:type="dxa"/>
            <w:vMerge w:val="restart"/>
          </w:tcPr>
          <w:p w:rsidR="00FC7F83" w:rsidRPr="002B6BAD" w:rsidRDefault="00D10CE5" w:rsidP="007910DA">
            <w:pPr>
              <w:spacing w:after="0" w:line="240" w:lineRule="auto"/>
              <w:jc w:val="both"/>
              <w:rPr>
                <w:i/>
                <w:iCs/>
                <w:color w:val="000000"/>
                <w:lang w:eastAsia="ru-RU"/>
              </w:rPr>
            </w:pPr>
            <w:r w:rsidRPr="00D10CE5">
              <w:rPr>
                <w:i/>
                <w:iCs/>
                <w:color w:val="000000"/>
                <w:lang w:eastAsia="ru-RU"/>
              </w:rPr>
              <w:t>Расходы консолидированного бюджета муниципального района "Забайкальский район" за</w:t>
            </w:r>
            <w:r w:rsidR="00F44636">
              <w:rPr>
                <w:i/>
                <w:iCs/>
                <w:color w:val="000000"/>
                <w:lang w:eastAsia="ru-RU"/>
              </w:rPr>
              <w:t xml:space="preserve"> </w:t>
            </w:r>
            <w:r w:rsidR="007910DA">
              <w:rPr>
                <w:i/>
                <w:iCs/>
                <w:color w:val="000000"/>
                <w:lang w:eastAsia="ru-RU"/>
              </w:rPr>
              <w:t>9</w:t>
            </w:r>
            <w:r w:rsidR="00F44636">
              <w:rPr>
                <w:i/>
                <w:iCs/>
                <w:color w:val="000000"/>
                <w:lang w:eastAsia="ru-RU"/>
              </w:rPr>
              <w:t xml:space="preserve"> </w:t>
            </w:r>
            <w:r w:rsidR="007910DA">
              <w:rPr>
                <w:i/>
                <w:iCs/>
                <w:color w:val="000000"/>
                <w:lang w:eastAsia="ru-RU"/>
              </w:rPr>
              <w:t>месяцев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 201</w:t>
            </w:r>
            <w:r w:rsidR="00F44636">
              <w:rPr>
                <w:i/>
                <w:iCs/>
                <w:color w:val="000000"/>
                <w:lang w:eastAsia="ru-RU"/>
              </w:rPr>
              <w:t>5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год</w:t>
            </w:r>
            <w:r w:rsidR="00F44636">
              <w:rPr>
                <w:i/>
                <w:iCs/>
                <w:color w:val="000000"/>
                <w:lang w:eastAsia="ru-RU"/>
              </w:rPr>
              <w:t>а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3A5BB4">
              <w:rPr>
                <w:i/>
                <w:iCs/>
                <w:lang w:eastAsia="ru-RU"/>
              </w:rPr>
              <w:t xml:space="preserve">составили </w:t>
            </w:r>
            <w:r w:rsidR="007910DA">
              <w:rPr>
                <w:i/>
                <w:iCs/>
                <w:lang w:eastAsia="ru-RU"/>
              </w:rPr>
              <w:t>408 581,7</w:t>
            </w:r>
            <w:r w:rsidRPr="003A5BB4">
              <w:rPr>
                <w:i/>
                <w:iCs/>
                <w:lang w:eastAsia="ru-RU"/>
              </w:rPr>
              <w:t xml:space="preserve"> тыс. рублей (</w:t>
            </w:r>
            <w:r w:rsidR="007910DA">
              <w:rPr>
                <w:i/>
                <w:iCs/>
                <w:lang w:eastAsia="ru-RU"/>
              </w:rPr>
              <w:t>109,2</w:t>
            </w:r>
            <w:r w:rsidRPr="003A5BB4">
              <w:rPr>
                <w:i/>
                <w:iCs/>
                <w:lang w:eastAsia="ru-RU"/>
              </w:rPr>
              <w:t xml:space="preserve"> % к уровню прошлого года), в том числе расходы по районному бюджету </w:t>
            </w:r>
            <w:r w:rsidR="007910DA">
              <w:rPr>
                <w:i/>
                <w:iCs/>
                <w:lang w:eastAsia="ru-RU"/>
              </w:rPr>
              <w:t>335 242,1</w:t>
            </w:r>
            <w:r w:rsidRPr="003A5BB4">
              <w:rPr>
                <w:i/>
                <w:iCs/>
                <w:lang w:eastAsia="ru-RU"/>
              </w:rPr>
              <w:t xml:space="preserve"> тыс. рублей (</w:t>
            </w:r>
            <w:r w:rsidR="007910DA">
              <w:rPr>
                <w:i/>
                <w:iCs/>
                <w:lang w:eastAsia="ru-RU"/>
              </w:rPr>
              <w:t>117,1</w:t>
            </w:r>
            <w:r w:rsidRPr="003A5BB4">
              <w:rPr>
                <w:i/>
                <w:iCs/>
                <w:lang w:eastAsia="ru-RU"/>
              </w:rPr>
              <w:t xml:space="preserve"> % к уровню прошлого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года). Объем финансирования отраслей социальной сферы составил </w:t>
            </w:r>
            <w:r w:rsidR="007910DA">
              <w:rPr>
                <w:i/>
                <w:iCs/>
                <w:color w:val="000000"/>
                <w:lang w:eastAsia="ru-RU"/>
              </w:rPr>
              <w:t>277 701,3</w:t>
            </w:r>
            <w:r w:rsidR="00A33587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тыс. рублей, или </w:t>
            </w:r>
            <w:r w:rsidR="007910DA">
              <w:rPr>
                <w:i/>
                <w:iCs/>
                <w:color w:val="000000"/>
                <w:lang w:eastAsia="ru-RU"/>
              </w:rPr>
              <w:t>68,0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Динамика объема расходов бюджетов разных уровней</w:t>
            </w:r>
          </w:p>
        </w:tc>
      </w:tr>
      <w:tr w:rsidR="00FC7F83" w:rsidRPr="002B6BAD" w:rsidTr="0079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61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A0250D" w:rsidRDefault="007910DA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52950" cy="2676525"/>
                  <wp:effectExtent l="0" t="1905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FC7F83" w:rsidRPr="00126CF8" w:rsidRDefault="00A0250D" w:rsidP="001E7E7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tab/>
              <w:t xml:space="preserve">        </w:t>
            </w:r>
            <w:r w:rsidR="00126CF8">
              <w:rPr>
                <w:noProof/>
                <w:color w:val="000000"/>
                <w:sz w:val="18"/>
                <w:szCs w:val="18"/>
                <w:lang w:eastAsia="ru-RU"/>
              </w:rPr>
              <w:t>Консолидированный бюджет                              Районный бюджет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54"/>
        </w:trPr>
        <w:tc>
          <w:tcPr>
            <w:tcW w:w="11156" w:type="dxa"/>
            <w:gridSpan w:val="14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</w:t>
            </w:r>
            <w:proofErr w:type="spellStart"/>
            <w:r w:rsidRPr="002B6BAD"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2B6BAD"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sz w:val="24"/>
                <w:szCs w:val="24"/>
              </w:rPr>
              <w:t>уб</w:t>
            </w:r>
            <w:proofErr w:type="spellEnd"/>
            <w:r w:rsidRPr="002B6BAD">
              <w:rPr>
                <w:b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3"/>
            <w:shd w:val="clear" w:color="auto" w:fill="FFFF66"/>
          </w:tcPr>
          <w:p w:rsidR="00FC7F83" w:rsidRPr="002B6BAD" w:rsidRDefault="00FC7F83" w:rsidP="007444BD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 w:rsidR="00DA0AB4"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B6561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FC7F83" w:rsidRPr="00836EED" w:rsidRDefault="00FC7F83" w:rsidP="005F1420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837F49"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FC7F83" w:rsidRPr="00D91375" w:rsidRDefault="00FC7F83" w:rsidP="00DC35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 w:rsidR="00DA0AB4"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B6561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130" w:type="dxa"/>
            <w:shd w:val="clear" w:color="auto" w:fill="FFFF66"/>
          </w:tcPr>
          <w:p w:rsidR="00FC7F83" w:rsidRPr="002B6BAD" w:rsidRDefault="00FC7F83" w:rsidP="00575285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201</w:t>
            </w:r>
            <w:r w:rsidR="00837F49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201</w:t>
            </w:r>
            <w:r w:rsidR="00837F4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2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pStyle w:val="1"/>
              <w:spacing w:line="220" w:lineRule="exact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 xml:space="preserve">Налоговые и неналоговые доходы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DA0AB4" w:rsidP="00C44C84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152</w:t>
            </w:r>
            <w:r w:rsidR="005607A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168,8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C458A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214</w:t>
            </w:r>
            <w:r w:rsidR="005607A2">
              <w:rPr>
                <w:b/>
                <w:bCs/>
                <w:color w:val="000000" w:themeColor="text1"/>
              </w:rPr>
              <w:t xml:space="preserve"> </w:t>
            </w:r>
            <w:r w:rsidR="00915B91">
              <w:rPr>
                <w:b/>
                <w:bCs/>
                <w:color w:val="000000" w:themeColor="text1"/>
              </w:rPr>
              <w:t>542,2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DA0AB4" w:rsidP="00FF54F2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163</w:t>
            </w:r>
            <w:r w:rsidR="005607A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064,9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C458A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DA0AB4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107,2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="005607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720,8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C458A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  <w:r w:rsidR="005607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436,9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5607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562,8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C458A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112,3</w:t>
            </w:r>
          </w:p>
        </w:tc>
      </w:tr>
      <w:tr w:rsidR="00575285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5" w:rsidRPr="004146EA" w:rsidRDefault="00575285" w:rsidP="004B2E77">
            <w:pPr>
              <w:spacing w:after="0"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607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271,2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5C458A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5607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565,0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607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797,8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5C458A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85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2,5 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DA0AB4" w:rsidP="00DA0AB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607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037,3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C458A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5607A2">
              <w:rPr>
                <w:color w:val="000000" w:themeColor="text1"/>
              </w:rPr>
              <w:t xml:space="preserve"> </w:t>
            </w:r>
            <w:r w:rsidR="00915B91">
              <w:rPr>
                <w:color w:val="000000" w:themeColor="text1"/>
              </w:rPr>
              <w:t>286,2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607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399,2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C458A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DA0AB4" w:rsidP="00B71D03">
            <w:pPr>
              <w:spacing w:after="0" w:line="240" w:lineRule="auto"/>
              <w:jc w:val="center"/>
            </w:pPr>
            <w:r>
              <w:t>589,4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1343,8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DA0AB4" w:rsidP="00B71D03">
            <w:pPr>
              <w:spacing w:after="0" w:line="240" w:lineRule="auto"/>
              <w:jc w:val="center"/>
            </w:pPr>
            <w:r>
              <w:t>986,8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73,4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167,4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Земельный налог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DA0AB4" w:rsidP="00B71D03">
            <w:pPr>
              <w:spacing w:after="0" w:line="240" w:lineRule="auto"/>
              <w:jc w:val="center"/>
            </w:pPr>
            <w:r>
              <w:t>9</w:t>
            </w:r>
            <w:r w:rsidR="005607A2">
              <w:t xml:space="preserve"> </w:t>
            </w:r>
            <w:r>
              <w:t>601,6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5D3BD1">
            <w:pPr>
              <w:spacing w:after="0" w:line="240" w:lineRule="auto"/>
              <w:jc w:val="center"/>
            </w:pPr>
            <w:r>
              <w:t>13</w:t>
            </w:r>
            <w:r w:rsidR="005607A2">
              <w:t xml:space="preserve"> </w:t>
            </w:r>
            <w:r>
              <w:t>573,7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DA0AB4" w:rsidP="00B71D03">
            <w:pPr>
              <w:spacing w:after="0" w:line="240" w:lineRule="auto"/>
              <w:jc w:val="center"/>
            </w:pPr>
            <w:r>
              <w:t>11</w:t>
            </w:r>
            <w:r w:rsidR="005607A2">
              <w:t xml:space="preserve"> </w:t>
            </w:r>
            <w:r>
              <w:t>741,8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86,5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122,3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DA0AB4" w:rsidP="00B71D03">
            <w:pPr>
              <w:spacing w:after="0" w:line="240" w:lineRule="auto"/>
              <w:jc w:val="center"/>
            </w:pPr>
            <w:r>
              <w:t>877,5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310,2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DA0AB4" w:rsidP="00B71D03">
            <w:pPr>
              <w:spacing w:after="0" w:line="240" w:lineRule="auto"/>
              <w:jc w:val="center"/>
            </w:pPr>
            <w:r>
              <w:t>165,1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53,2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18,8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 xml:space="preserve">Государственная пошлина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DA0AB4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6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442,0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1</w:t>
            </w:r>
            <w:r w:rsidR="005607A2">
              <w:t xml:space="preserve"> </w:t>
            </w:r>
            <w:r>
              <w:t>902,0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DA0AB4" w:rsidP="00B71D03">
            <w:pPr>
              <w:spacing w:after="0" w:line="240" w:lineRule="auto"/>
              <w:jc w:val="center"/>
            </w:pPr>
            <w:r>
              <w:t>2</w:t>
            </w:r>
            <w:r w:rsidR="005607A2">
              <w:t xml:space="preserve"> </w:t>
            </w:r>
            <w:r>
              <w:t>757,2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144,9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191,2</w:t>
            </w:r>
          </w:p>
        </w:tc>
      </w:tr>
      <w:tr w:rsidR="00915E09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9" w:rsidRPr="00CC187C" w:rsidRDefault="00915E09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DA0AB4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-27,6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5C458A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DA0AB4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5C458A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09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DA0AB4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  <w:r w:rsidR="0056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604,5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2B100F">
            <w:pPr>
              <w:spacing w:after="0" w:line="240" w:lineRule="auto"/>
              <w:jc w:val="center"/>
            </w:pPr>
            <w:r>
              <w:t>37</w:t>
            </w:r>
            <w:r w:rsidR="005607A2">
              <w:t xml:space="preserve"> </w:t>
            </w:r>
            <w:r>
              <w:t>323,9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DA0AB4" w:rsidP="00C44C84">
            <w:pPr>
              <w:spacing w:after="0" w:line="240" w:lineRule="auto"/>
              <w:jc w:val="center"/>
            </w:pPr>
            <w:r>
              <w:t>41</w:t>
            </w:r>
            <w:r w:rsidR="005607A2">
              <w:t xml:space="preserve"> </w:t>
            </w:r>
            <w:r>
              <w:t>108,1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110,1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92,2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ind w:left="35" w:hanging="35"/>
            </w:pPr>
            <w:r w:rsidRPr="00CC187C">
              <w:t>Платежи при пользовании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DA0AB4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506,1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1</w:t>
            </w:r>
            <w:r w:rsidR="005607A2">
              <w:t xml:space="preserve"> </w:t>
            </w:r>
            <w:r>
              <w:t>685,5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DA0AB4" w:rsidP="00B71D03">
            <w:pPr>
              <w:spacing w:after="0" w:line="240" w:lineRule="auto"/>
              <w:jc w:val="center"/>
            </w:pPr>
            <w:r>
              <w:t>606,2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35,9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DA0AB4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119,8</w:t>
            </w:r>
          </w:p>
        </w:tc>
      </w:tr>
      <w:tr w:rsidR="00961D5B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B" w:rsidRPr="00CC187C" w:rsidRDefault="00961D5B" w:rsidP="004B2E77">
            <w:pPr>
              <w:spacing w:after="0" w:line="220" w:lineRule="exact"/>
              <w:ind w:left="35" w:hanging="35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5C458A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296,8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5C458A" w:rsidP="00B71D03">
            <w:pPr>
              <w:spacing w:after="0" w:line="240" w:lineRule="auto"/>
              <w:jc w:val="center"/>
            </w:pPr>
            <w:r>
              <w:t>8,0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5C458A" w:rsidP="00B71D03">
            <w:pPr>
              <w:spacing w:after="0" w:line="240" w:lineRule="auto"/>
              <w:jc w:val="center"/>
            </w:pPr>
            <w:r>
              <w:t>75,1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5C458A" w:rsidP="00B71D03">
            <w:pPr>
              <w:spacing w:after="0" w:line="240" w:lineRule="auto"/>
              <w:jc w:val="center"/>
            </w:pPr>
            <w:r>
              <w:t xml:space="preserve">в 9,4 </w:t>
            </w:r>
            <w:proofErr w:type="gramStart"/>
            <w:r>
              <w:t>р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D5B" w:rsidRPr="004146EA" w:rsidRDefault="005C458A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25,3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56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159,0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2</w:t>
            </w:r>
            <w:r w:rsidR="005607A2">
              <w:t xml:space="preserve"> </w:t>
            </w:r>
            <w:r>
              <w:t>636,8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FF54F2">
            <w:pPr>
              <w:spacing w:after="0" w:line="240" w:lineRule="auto"/>
              <w:jc w:val="center"/>
            </w:pPr>
            <w:r>
              <w:t>2</w:t>
            </w:r>
            <w:r w:rsidR="005607A2">
              <w:t xml:space="preserve"> </w:t>
            </w:r>
            <w:r>
              <w:t>391,7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90,7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C458A" w:rsidP="00B71D03">
            <w:pPr>
              <w:spacing w:after="0" w:line="240" w:lineRule="auto"/>
              <w:jc w:val="center"/>
            </w:pPr>
            <w:r>
              <w:t>33,4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jc w:val="both"/>
            </w:pPr>
            <w:r w:rsidRPr="00CC187C">
              <w:t xml:space="preserve">Штрафы, санкции, возмещение ущерба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5D3BD1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56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050,2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3</w:t>
            </w:r>
            <w:r w:rsidR="005607A2">
              <w:t xml:space="preserve"> </w:t>
            </w:r>
            <w:r>
              <w:t>731,2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5</w:t>
            </w:r>
            <w:r w:rsidR="005607A2">
              <w:t xml:space="preserve"> </w:t>
            </w:r>
            <w:r>
              <w:t>906,5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158,3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C458A" w:rsidP="00B71D03">
            <w:pPr>
              <w:spacing w:after="0" w:line="240" w:lineRule="auto"/>
              <w:jc w:val="center"/>
            </w:pPr>
            <w:r>
              <w:t>145,8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Прочие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1</w:t>
            </w:r>
            <w:r w:rsidR="005607A2">
              <w:t xml:space="preserve"> </w:t>
            </w:r>
            <w:r>
              <w:t>739,0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1</w:t>
            </w:r>
            <w:r w:rsidR="005607A2">
              <w:t xml:space="preserve"> </w:t>
            </w:r>
            <w:r>
              <w:t>566,6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ind w:left="-108" w:right="-108"/>
              <w:jc w:val="center"/>
            </w:pPr>
            <w:r>
              <w:t>90,1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5C458A" w:rsidP="00B71D03">
            <w:pPr>
              <w:spacing w:after="0" w:line="240" w:lineRule="auto"/>
              <w:ind w:left="-108" w:right="-108"/>
              <w:jc w:val="center"/>
            </w:pPr>
            <w:r>
              <w:t xml:space="preserve">в 39,2 </w:t>
            </w:r>
            <w:proofErr w:type="gramStart"/>
            <w:r>
              <w:t>р</w:t>
            </w:r>
            <w:proofErr w:type="gramEnd"/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rPr>
                <w:b/>
                <w:bCs/>
              </w:rPr>
            </w:pPr>
            <w:r w:rsidRPr="00CC187C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B04D1C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239</w:t>
            </w:r>
            <w:r w:rsidR="005607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536,3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</w:t>
            </w:r>
            <w:r w:rsidR="005607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797,7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  <w:r w:rsidR="005607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854,9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B04D1C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108,1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B04D1C" w:rsidP="0041162D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242</w:t>
            </w:r>
            <w:r w:rsidR="0056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348,1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295</w:t>
            </w:r>
            <w:r w:rsidR="005607A2">
              <w:t xml:space="preserve"> </w:t>
            </w:r>
            <w:r>
              <w:t>681,9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260</w:t>
            </w:r>
            <w:r w:rsidR="005607A2">
              <w:t xml:space="preserve"> </w:t>
            </w:r>
            <w:r>
              <w:t>092,2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87,9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B04D1C" w:rsidP="00B71D03">
            <w:pPr>
              <w:spacing w:after="0" w:line="240" w:lineRule="auto"/>
              <w:jc w:val="center"/>
            </w:pPr>
            <w:r>
              <w:t>107,3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624232">
            <w:pPr>
              <w:spacing w:after="0" w:line="220" w:lineRule="exact"/>
            </w:pPr>
            <w:r w:rsidRPr="00CC187C">
              <w:t xml:space="preserve">Дотации </w:t>
            </w:r>
            <w:r w:rsidR="00624232" w:rsidRPr="00CC187C">
              <w:t>от других бюджетов бюджетной системы</w:t>
            </w:r>
            <w:r w:rsidRPr="00CC187C"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B04D1C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56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260,6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36</w:t>
            </w:r>
            <w:r w:rsidR="005607A2">
              <w:t xml:space="preserve"> </w:t>
            </w:r>
            <w:r>
              <w:t>773,9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27</w:t>
            </w:r>
            <w:r w:rsidR="005607A2">
              <w:t xml:space="preserve"> </w:t>
            </w:r>
            <w:r>
              <w:t>785,1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75,6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B04D1C" w:rsidP="00B71D03">
            <w:pPr>
              <w:spacing w:after="0" w:line="240" w:lineRule="auto"/>
              <w:jc w:val="center"/>
            </w:pPr>
            <w:r>
              <w:t>119,4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638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B04D1C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56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687,8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12</w:t>
            </w:r>
            <w:r w:rsidR="005607A2">
              <w:t xml:space="preserve"> </w:t>
            </w:r>
            <w:r>
              <w:t>988,1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11</w:t>
            </w:r>
            <w:r w:rsidR="005607A2">
              <w:t xml:space="preserve"> </w:t>
            </w:r>
            <w:r>
              <w:t>454,5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88,2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B04D1C" w:rsidP="00B71D03">
            <w:pPr>
              <w:spacing w:after="0" w:line="240" w:lineRule="auto"/>
              <w:jc w:val="center"/>
            </w:pPr>
            <w:r>
              <w:t>42,9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 xml:space="preserve">Субвенции бюджетам субъектов РФ и  муниципальных образований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B04D1C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</w:t>
            </w:r>
            <w:r w:rsidR="0056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399,7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231</w:t>
            </w:r>
            <w:r w:rsidR="005607A2">
              <w:t xml:space="preserve"> </w:t>
            </w:r>
            <w:r>
              <w:t>770,4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214</w:t>
            </w:r>
            <w:r w:rsidR="005607A2">
              <w:t xml:space="preserve"> </w:t>
            </w:r>
            <w:r>
              <w:t>031,0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92,0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B04D1C" w:rsidP="00B71D03">
            <w:pPr>
              <w:spacing w:after="0" w:line="240" w:lineRule="auto"/>
              <w:jc w:val="center"/>
            </w:pPr>
            <w:r>
              <w:t>111,2</w:t>
            </w:r>
          </w:p>
        </w:tc>
      </w:tr>
      <w:tr w:rsidR="00F31A86" w:rsidRPr="002B6BAD" w:rsidTr="00F3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Pr="00CC187C" w:rsidRDefault="00F31A86" w:rsidP="004B2E77">
            <w:pPr>
              <w:spacing w:after="0" w:line="220" w:lineRule="exact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6" w:rsidRDefault="00B04D1C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6" w:rsidRDefault="005C458A" w:rsidP="00B71D03">
            <w:pPr>
              <w:spacing w:after="0" w:line="240" w:lineRule="auto"/>
              <w:jc w:val="center"/>
            </w:pPr>
            <w:r>
              <w:t>14</w:t>
            </w:r>
            <w:r w:rsidR="005607A2">
              <w:t xml:space="preserve"> </w:t>
            </w:r>
            <w:r>
              <w:t>149,5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6" w:rsidRDefault="005C458A" w:rsidP="00B71D03">
            <w:pPr>
              <w:spacing w:after="0" w:line="240" w:lineRule="auto"/>
              <w:jc w:val="center"/>
            </w:pPr>
            <w:r>
              <w:t>6</w:t>
            </w:r>
            <w:r w:rsidR="005607A2">
              <w:t xml:space="preserve"> </w:t>
            </w:r>
            <w:r>
              <w:t>821,6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6" w:rsidRDefault="005C458A" w:rsidP="00B71D03">
            <w:pPr>
              <w:spacing w:after="0" w:line="240" w:lineRule="auto"/>
              <w:jc w:val="center"/>
            </w:pPr>
            <w:r>
              <w:t>48,2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86" w:rsidRDefault="00B04D1C" w:rsidP="00B71D0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D47B38">
            <w:pPr>
              <w:spacing w:after="0" w:line="220" w:lineRule="exact"/>
            </w:pPr>
            <w:r w:rsidRPr="00CC187C">
              <w:t xml:space="preserve">Прочие безвозмездные поступления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B04D1C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646,9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C458A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B04D1C" w:rsidP="00AF6AA6">
            <w:pPr>
              <w:spacing w:after="0" w:line="240" w:lineRule="auto"/>
              <w:jc w:val="center"/>
            </w:pPr>
            <w:r>
              <w:t xml:space="preserve">в 3,3 </w:t>
            </w:r>
            <w:proofErr w:type="gramStart"/>
            <w:r>
              <w:t>р</w:t>
            </w:r>
            <w:proofErr w:type="gramEnd"/>
          </w:p>
        </w:tc>
      </w:tr>
      <w:tr w:rsidR="002F3FBC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C" w:rsidRPr="00CC187C" w:rsidRDefault="002F3FBC" w:rsidP="004B2E77">
            <w:pPr>
              <w:spacing w:after="0" w:line="220" w:lineRule="exact"/>
            </w:pPr>
            <w:r w:rsidRPr="00CC187C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B04D1C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5C458A" w:rsidP="00B71D03">
            <w:pPr>
              <w:spacing w:after="0" w:line="240" w:lineRule="auto"/>
              <w:jc w:val="center"/>
            </w:pPr>
            <w:r>
              <w:t>1</w:t>
            </w:r>
            <w:r w:rsidR="005607A2">
              <w:t xml:space="preserve"> </w:t>
            </w:r>
            <w:r>
              <w:t>685,5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5C458A" w:rsidP="00B71D03">
            <w:pPr>
              <w:spacing w:after="0" w:line="240" w:lineRule="auto"/>
              <w:jc w:val="center"/>
            </w:pPr>
            <w:r>
              <w:t>1</w:t>
            </w:r>
            <w:r w:rsidR="005607A2">
              <w:t xml:space="preserve"> </w:t>
            </w:r>
            <w:r>
              <w:t>685,5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5C458A" w:rsidP="00B71D03">
            <w:pPr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FBC" w:rsidRPr="00B9795A" w:rsidRDefault="00B04D1C" w:rsidP="00B71D0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B04D1C" w:rsidP="00241FA7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</w:t>
            </w:r>
            <w:r w:rsidR="005607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008,8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5C458A" w:rsidP="005D3BD1">
            <w:pPr>
              <w:spacing w:after="0" w:line="240" w:lineRule="auto"/>
              <w:jc w:val="center"/>
            </w:pPr>
            <w:r>
              <w:t>-3</w:t>
            </w:r>
            <w:r w:rsidR="005607A2">
              <w:t xml:space="preserve"> </w:t>
            </w:r>
            <w:r>
              <w:t>569,7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5C458A" w:rsidP="005D3BD1">
            <w:pPr>
              <w:spacing w:after="0" w:line="240" w:lineRule="auto"/>
              <w:jc w:val="center"/>
            </w:pPr>
            <w:r>
              <w:t>-3</w:t>
            </w:r>
            <w:r w:rsidR="005607A2">
              <w:t xml:space="preserve"> </w:t>
            </w:r>
            <w:r>
              <w:t>569,7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5C458A" w:rsidP="00B71D03">
            <w:pPr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B04D1C" w:rsidP="00B71D0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C7F83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B04D1C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391</w:t>
            </w:r>
            <w:r w:rsidR="005607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705,1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915B91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508 339,9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5C458A" w:rsidP="00FF54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</w:t>
            </w:r>
            <w:r w:rsidR="005607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919,8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922474" w:rsidRDefault="00922474" w:rsidP="00B71D03">
            <w:pPr>
              <w:spacing w:after="0" w:line="240" w:lineRule="auto"/>
              <w:jc w:val="center"/>
              <w:rPr>
                <w:b/>
                <w:bCs/>
              </w:rPr>
            </w:pPr>
            <w:r w:rsidRPr="00922474">
              <w:rPr>
                <w:b/>
                <w:bCs/>
              </w:rPr>
              <w:t>83,0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922474" w:rsidRDefault="00B04D1C" w:rsidP="00B71D03">
            <w:pPr>
              <w:spacing w:after="0" w:line="240" w:lineRule="auto"/>
              <w:jc w:val="center"/>
              <w:rPr>
                <w:b/>
                <w:bCs/>
              </w:rPr>
            </w:pPr>
            <w:r w:rsidRPr="00922474">
              <w:rPr>
                <w:b/>
                <w:bCs/>
              </w:rPr>
              <w:t>107,7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C7F83" w:rsidRPr="00836EED" w:rsidRDefault="00FC7F83" w:rsidP="00B04D1C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Структура исполнения доходов консолидированного бюджета за </w:t>
            </w:r>
            <w:r w:rsidR="00B04D1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 месяцев 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201</w:t>
            </w:r>
            <w:r w:rsidR="0066024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66024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FC7F83" w:rsidRPr="002B6BAD" w:rsidRDefault="00465598" w:rsidP="00B04D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 w:rsidR="00FD44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04D1C">
              <w:rPr>
                <w:b/>
                <w:bCs/>
                <w:i/>
                <w:iCs/>
                <w:sz w:val="20"/>
                <w:szCs w:val="20"/>
              </w:rPr>
              <w:t>9 месяцев</w:t>
            </w:r>
            <w:r w:rsidR="0066024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66024B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66024B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C7F83" w:rsidRPr="00836EED" w:rsidRDefault="00FC7F83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FC7F83" w:rsidRPr="002B6BAD" w:rsidTr="00B0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2563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B04D1C" w:rsidP="0066024B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390900" cy="1962150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B04D1C" w:rsidP="0066024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5650" cy="1962150"/>
                  <wp:effectExtent l="0" t="0" r="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5"/>
          <w:wBefore w:w="213" w:type="dxa"/>
          <w:wAfter w:w="9796" w:type="dxa"/>
        </w:trPr>
        <w:tc>
          <w:tcPr>
            <w:tcW w:w="11185" w:type="dxa"/>
            <w:gridSpan w:val="15"/>
            <w:shd w:val="clear" w:color="auto" w:fill="8DB3E2"/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FC7F83" w:rsidRPr="002B6BAD" w:rsidTr="00B04D1C">
        <w:trPr>
          <w:trHeight w:val="840"/>
        </w:trPr>
        <w:tc>
          <w:tcPr>
            <w:tcW w:w="2119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B04D1C" w:rsidP="00E50E84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96125" cy="2733675"/>
                  <wp:effectExtent l="0" t="0" r="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C7F83" w:rsidRPr="002B6BAD" w:rsidTr="00596F71">
        <w:trPr>
          <w:trHeight w:val="454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FC7F83" w:rsidRPr="002B6BAD" w:rsidTr="00E84186">
              <w:trPr>
                <w:trHeight w:val="29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226FD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</w:t>
                  </w: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FC7F83" w:rsidRPr="002B6BAD" w:rsidTr="00E84186">
              <w:trPr>
                <w:trHeight w:val="30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D3220" w:rsidRDefault="00FC7F83" w:rsidP="005607A2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5607A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112121" w:rsidP="00F4463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F4463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FC7F83"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FC7F83" w:rsidP="00F4463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201</w:t>
                  </w:r>
                  <w:r w:rsidR="00F4463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 от 201</w:t>
                  </w:r>
                  <w:r w:rsidR="00F4463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FC7F83" w:rsidRPr="002B6BAD" w:rsidTr="00E84186">
              <w:trPr>
                <w:trHeight w:val="608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Уточненные бюджетные назначения </w:t>
                  </w:r>
                  <w:proofErr w:type="gramStart"/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D3220" w:rsidRDefault="00FC7F83" w:rsidP="005607A2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5607A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43A3" w:rsidRPr="002B6BAD" w:rsidTr="00E84186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77 482,6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111 097,9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81 842,7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4 360,1</w:t>
                  </w:r>
                </w:p>
              </w:tc>
            </w:tr>
            <w:tr w:rsidR="004043A3" w:rsidRPr="002B6BAD" w:rsidTr="00E84186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Национальная </w:t>
                  </w:r>
                  <w:r w:rsidR="000E5328"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борон</w:t>
                  </w:r>
                  <w:r w:rsidR="000E5328">
                    <w:rPr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1 972,2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2 544,6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1 810,5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-161,7</w:t>
                  </w:r>
                </w:p>
              </w:tc>
            </w:tr>
            <w:tr w:rsidR="004043A3" w:rsidRPr="002B6BAD" w:rsidTr="00E84186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3D731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color w:val="000000"/>
                      <w:sz w:val="20"/>
                      <w:szCs w:val="20"/>
                    </w:rPr>
                    <w:t>ая бе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опасность и правоохранительна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деят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льность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1 452,4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1 045,0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717,6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BE5CB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-734,8</w:t>
                  </w:r>
                </w:p>
              </w:tc>
            </w:tr>
            <w:tr w:rsidR="004043A3" w:rsidRPr="002B6BAD" w:rsidTr="00E84186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1 171,3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14 311,7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3 980,1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2 808,8</w:t>
                  </w:r>
                </w:p>
              </w:tc>
            </w:tr>
            <w:tr w:rsidR="004043A3" w:rsidRPr="002B6BAD" w:rsidTr="00E84186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33 720,9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40 363,8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30 968,0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-2 752,9</w:t>
                  </w:r>
                </w:p>
              </w:tc>
            </w:tr>
            <w:tr w:rsidR="004043A3" w:rsidRPr="002B6BAD" w:rsidTr="00E84186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="00331F7B">
                    <w:rPr>
                      <w:color w:val="000000"/>
                      <w:sz w:val="20"/>
                      <w:szCs w:val="20"/>
                    </w:rPr>
                    <w:t>бразование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216 432,8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295 147,3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248 699,9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32 267,1</w:t>
                  </w:r>
                </w:p>
              </w:tc>
            </w:tr>
            <w:tr w:rsidR="004043A3" w:rsidRPr="002B6BAD" w:rsidTr="00E84186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 и кине</w:t>
                  </w:r>
                  <w:r w:rsidR="000E5328"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атография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14 645,0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19 345,4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12 031,0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-2 614,0</w:t>
                  </w:r>
                </w:p>
              </w:tc>
            </w:tr>
            <w:tr w:rsidR="004043A3" w:rsidRPr="002B6BAD" w:rsidTr="00E84186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Социальная </w:t>
                  </w:r>
                  <w:r w:rsidR="00331F7B">
                    <w:rPr>
                      <w:color w:val="000000"/>
                      <w:sz w:val="20"/>
                      <w:szCs w:val="20"/>
                    </w:rPr>
                    <w:t>политика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12 829,6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20 016,1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12 525,2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-304,4</w:t>
                  </w:r>
                </w:p>
              </w:tc>
            </w:tr>
            <w:tr w:rsidR="004043A3" w:rsidRPr="002B6BAD" w:rsidTr="00E84186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Физ</w:t>
                  </w:r>
                  <w:proofErr w:type="spellEnd"/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="000E5328"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t>ческая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культура и спорт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3 948,3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4 773,4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4 445,2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93,1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496,9</w:t>
                  </w:r>
                </w:p>
              </w:tc>
            </w:tr>
            <w:tr w:rsidR="004043A3" w:rsidRPr="002B6BAD" w:rsidTr="00E84186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0E5328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Средства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массовой</w:t>
                  </w:r>
                  <w:proofErr w:type="gramEnd"/>
                  <w:r w:rsidR="00E8438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информации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288,0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152,0</w:t>
                  </w:r>
                </w:p>
              </w:tc>
            </w:tr>
            <w:tr w:rsidR="004043A3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Обс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л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уживание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муници</w:t>
                  </w:r>
                  <w:r w:rsidR="00596F71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ального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долга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1 030,9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683,3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283,2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41,4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-747,7</w:t>
                  </w:r>
                </w:p>
              </w:tc>
            </w:tr>
            <w:tr w:rsidR="004043A3" w:rsidRPr="002B6BAD" w:rsidTr="00E84186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9 465,6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12 975,4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10 990,3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A4C41" w:rsidRDefault="00596F71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1 524,7</w:t>
                  </w:r>
                </w:p>
              </w:tc>
            </w:tr>
            <w:tr w:rsidR="004043A3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</w:t>
                  </w:r>
                  <w:r w:rsidR="00770ED5">
                    <w:rPr>
                      <w:b/>
                      <w:bCs/>
                      <w:color w:val="000000"/>
                    </w:rPr>
                    <w:t>Г</w:t>
                  </w:r>
                  <w:r>
                    <w:rPr>
                      <w:b/>
                      <w:bCs/>
                      <w:color w:val="000000"/>
                    </w:rPr>
                    <w:cr/>
                    <w:t>О РАСХОД</w:t>
                  </w:r>
                  <w:r>
                    <w:rPr>
                      <w:b/>
                      <w:bCs/>
                      <w:color w:val="000000"/>
                    </w:rPr>
                    <w:cr/>
                  </w:r>
                  <w:r w:rsidR="000E5328">
                    <w:rPr>
                      <w:b/>
                      <w:bCs/>
                      <w:color w:val="000000"/>
                    </w:rPr>
                    <w:t>О</w:t>
                  </w:r>
                  <w:r>
                    <w:rPr>
                      <w:b/>
                      <w:bCs/>
                      <w:color w:val="000000"/>
                    </w:rPr>
                    <w:t>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374 287,6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522 693,9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607A2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408 581,7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043A3" w:rsidRDefault="00596F71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596F71" w:rsidP="002D7F4F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34 294,1</w:t>
                  </w:r>
                </w:p>
              </w:tc>
            </w:tr>
            <w:tr w:rsidR="00FC7F83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7F83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Структура расходов</w:t>
                  </w:r>
                </w:p>
              </w:tc>
            </w:tr>
          </w:tbl>
          <w:p w:rsidR="005E6EAA" w:rsidRDefault="00596F71" w:rsidP="00753E3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91350" cy="319087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5E6EAA" w:rsidRPr="002F73B6" w:rsidRDefault="005E6EAA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4213"/>
              <w:gridCol w:w="1404"/>
              <w:gridCol w:w="1553"/>
              <w:gridCol w:w="1549"/>
              <w:gridCol w:w="1417"/>
              <w:gridCol w:w="1091"/>
            </w:tblGrid>
            <w:tr w:rsidR="00FC7F83" w:rsidRPr="002B6BAD" w:rsidTr="00552CCE">
              <w:trPr>
                <w:trHeight w:val="337"/>
              </w:trPr>
              <w:tc>
                <w:tcPr>
                  <w:tcW w:w="1122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по кодам классификации операций сектора государственного управления (</w:t>
                  </w: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714158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C7F83" w:rsidRPr="002B6BAD" w:rsidTr="00552CCE">
              <w:trPr>
                <w:trHeight w:val="293"/>
              </w:trPr>
              <w:tc>
                <w:tcPr>
                  <w:tcW w:w="1122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7F83" w:rsidRPr="002B6BAD" w:rsidTr="00552CCE">
              <w:trPr>
                <w:trHeight w:val="259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4D264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Консолидированный бюджет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муниципального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района «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Забайкальский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район»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8220E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статьи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1D36C7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Уточненные </w:t>
                  </w: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бюд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жетные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назн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1D36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чения</w:t>
                  </w:r>
                  <w:proofErr w:type="spellEnd"/>
                  <w:r w:rsidR="001D36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596F71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596F7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753E3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Удельный вес</w:t>
                  </w:r>
                </w:p>
              </w:tc>
            </w:tr>
            <w:tr w:rsidR="00FC7F83" w:rsidRPr="002B6BAD" w:rsidTr="00552CCE">
              <w:trPr>
                <w:trHeight w:val="510"/>
              </w:trPr>
              <w:tc>
                <w:tcPr>
                  <w:tcW w:w="4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6227" w:rsidRPr="002B6BAD" w:rsidTr="00552CCE">
              <w:trPr>
                <w:trHeight w:val="225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1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242 895,8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209 587,3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51,3</w:t>
                  </w:r>
                </w:p>
              </w:tc>
            </w:tr>
            <w:tr w:rsidR="00796227" w:rsidRPr="002B6BAD" w:rsidTr="00552CCE">
              <w:trPr>
                <w:trHeight w:val="201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Начисления на выплаты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="002D7F4F">
                    <w:rPr>
                      <w:color w:val="000000"/>
                      <w:sz w:val="20"/>
                      <w:szCs w:val="20"/>
                    </w:rPr>
                    <w:t>о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оплате труда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76 879,7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65 153,1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</w:tr>
            <w:tr w:rsidR="00796227" w:rsidRPr="002B6BAD" w:rsidTr="00552CCE">
              <w:trPr>
                <w:trHeight w:val="147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</w:t>
                  </w:r>
                  <w:r w:rsidR="005E6EA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38 005,9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26 651,9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796227" w:rsidRPr="002B6BAD" w:rsidTr="00552CCE">
              <w:trPr>
                <w:trHeight w:val="165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18 090,1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11 881,0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96F71" w:rsidP="002D7F4F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796227" w:rsidRPr="002B6BAD" w:rsidTr="00552CCE">
              <w:trPr>
                <w:trHeight w:val="197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20 244,4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14 775,2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3,6</w:t>
                  </w:r>
                </w:p>
              </w:tc>
            </w:tr>
            <w:tr w:rsidR="00796227" w:rsidRPr="002B6BAD" w:rsidTr="00552CCE">
              <w:trPr>
                <w:trHeight w:val="23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126 578,0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80 533,2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63,6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19,7</w:t>
                  </w:r>
                </w:p>
              </w:tc>
            </w:tr>
            <w:tr w:rsidR="00796227" w:rsidRPr="002B6BAD" w:rsidTr="00552CCE">
              <w:trPr>
                <w:trHeight w:val="119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522 693,9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408 581,7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596F71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78,2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4D264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Расходы по кодам классификации операций сектора 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государственного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уп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="008D050E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авления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Районны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cr/>
                  </w:r>
                  <w:r w:rsidR="00596F71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й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бюджет муниципального района «Забайкальский </w:t>
                  </w: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cr/>
                  </w:r>
                  <w:proofErr w:type="spellStart"/>
                  <w:r w:rsidR="00596F71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й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он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596F7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татьи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Код статьи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Уточненные </w:t>
                  </w:r>
                  <w:r w:rsidR="009864B3"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бюджетные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назначения на 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714158" w:rsidRDefault="00FC7F83" w:rsidP="00596F71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596F7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Удельный вес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1</w:t>
                  </w:r>
                  <w:r w:rsidR="002D7F4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206 240,2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182 438,3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54,4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Начисления на выплаты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440154"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плате труда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64 880,5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58 868,3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17,6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="00543795"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</w:rPr>
                    <w:t>унальны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596F71"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услуги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32 369,0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22 753,2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6,8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2D7F4F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17 552,7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11 761,8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Увеличение стоимости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="00596F71">
                    <w:rPr>
                      <w:color w:val="000000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териал</w:t>
                  </w:r>
                  <w:r w:rsidR="00596F71">
                    <w:rPr>
                      <w:color w:val="000000"/>
                      <w:sz w:val="20"/>
                      <w:szCs w:val="20"/>
                    </w:rPr>
                    <w:t>ь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ных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запасов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6E336C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14 778,4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9 690,6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050FB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</w:t>
                  </w:r>
                  <w:r w:rsidR="00596F71">
                    <w:rPr>
                      <w:color w:val="00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82 860,5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49 729,9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050FB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418 681,3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335 242,1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7337BB" w:rsidRDefault="00596F71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80,1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440154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</w:t>
                  </w: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</w:tbl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C7F83" w:rsidRPr="002B6BAD" w:rsidTr="007E1E8F">
        <w:trPr>
          <w:trHeight w:val="300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C7F83" w:rsidRDefault="00050FB7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900" cy="3619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324B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714158">
        <w:rPr>
          <w:color w:val="000000"/>
          <w:lang w:eastAsia="ru-RU"/>
        </w:rPr>
        <w:t>за</w:t>
      </w:r>
      <w:r w:rsidR="00F91317">
        <w:rPr>
          <w:color w:val="000000"/>
          <w:lang w:eastAsia="ru-RU"/>
        </w:rPr>
        <w:t xml:space="preserve"> </w:t>
      </w:r>
      <w:r w:rsidR="00050FB7">
        <w:rPr>
          <w:color w:val="000000"/>
          <w:lang w:eastAsia="ru-RU"/>
        </w:rPr>
        <w:t>9 месяцев</w:t>
      </w:r>
      <w:r w:rsidR="00F91317">
        <w:rPr>
          <w:color w:val="000000"/>
          <w:lang w:eastAsia="ru-RU"/>
        </w:rPr>
        <w:t xml:space="preserve"> </w:t>
      </w:r>
      <w:r w:rsidR="00714158">
        <w:rPr>
          <w:color w:val="000000"/>
          <w:lang w:eastAsia="ru-RU"/>
        </w:rPr>
        <w:t xml:space="preserve"> </w:t>
      </w:r>
      <w:r w:rsidRPr="005127CE">
        <w:rPr>
          <w:color w:val="000000"/>
          <w:lang w:eastAsia="ru-RU"/>
        </w:rPr>
        <w:t>201</w:t>
      </w:r>
      <w:r w:rsidR="00F91317">
        <w:rPr>
          <w:color w:val="000000"/>
          <w:lang w:eastAsia="ru-RU"/>
        </w:rPr>
        <w:t>5</w:t>
      </w:r>
      <w:r w:rsidRPr="005127CE">
        <w:rPr>
          <w:color w:val="000000"/>
          <w:lang w:eastAsia="ru-RU"/>
        </w:rPr>
        <w:t xml:space="preserve"> год направлено </w:t>
      </w:r>
      <w:r w:rsidR="00050FB7">
        <w:rPr>
          <w:color w:val="000000"/>
          <w:lang w:eastAsia="ru-RU"/>
        </w:rPr>
        <w:t>274 740,3</w:t>
      </w:r>
      <w:r w:rsidRPr="005127CE">
        <w:rPr>
          <w:color w:val="000000"/>
          <w:lang w:eastAsia="ru-RU"/>
        </w:rPr>
        <w:t xml:space="preserve"> рублей (</w:t>
      </w:r>
      <w:proofErr w:type="spellStart"/>
      <w:r w:rsidRPr="005127CE">
        <w:rPr>
          <w:color w:val="000000"/>
          <w:lang w:eastAsia="ru-RU"/>
        </w:rPr>
        <w:t>справочно</w:t>
      </w:r>
      <w:proofErr w:type="spellEnd"/>
      <w:r w:rsidRPr="005127CE">
        <w:rPr>
          <w:color w:val="000000"/>
          <w:lang w:eastAsia="ru-RU"/>
        </w:rPr>
        <w:t xml:space="preserve">: </w:t>
      </w:r>
      <w:r w:rsidR="00050FB7">
        <w:rPr>
          <w:color w:val="000000"/>
          <w:lang w:eastAsia="ru-RU"/>
        </w:rPr>
        <w:t xml:space="preserve"> </w:t>
      </w:r>
      <w:r w:rsidR="00A55136">
        <w:rPr>
          <w:color w:val="000000"/>
          <w:lang w:eastAsia="ru-RU"/>
        </w:rPr>
        <w:t>252 712,0</w:t>
      </w:r>
      <w:r w:rsidRPr="005127CE">
        <w:rPr>
          <w:color w:val="000000"/>
          <w:lang w:eastAsia="ru-RU"/>
        </w:rPr>
        <w:t xml:space="preserve"> тыс. рублей </w:t>
      </w:r>
      <w:r w:rsidR="00714158">
        <w:rPr>
          <w:color w:val="000000"/>
          <w:lang w:eastAsia="ru-RU"/>
        </w:rPr>
        <w:t xml:space="preserve">за </w:t>
      </w:r>
      <w:r w:rsidR="00A55136">
        <w:rPr>
          <w:color w:val="000000"/>
          <w:lang w:eastAsia="ru-RU"/>
        </w:rPr>
        <w:t>9 месяцев</w:t>
      </w:r>
      <w:r w:rsidR="00B54E99">
        <w:rPr>
          <w:color w:val="000000"/>
          <w:lang w:eastAsia="ru-RU"/>
        </w:rPr>
        <w:t xml:space="preserve"> </w:t>
      </w:r>
      <w:r w:rsidR="00F91317">
        <w:rPr>
          <w:color w:val="000000"/>
          <w:lang w:eastAsia="ru-RU"/>
        </w:rPr>
        <w:t xml:space="preserve"> </w:t>
      </w:r>
      <w:r w:rsidRPr="005127CE">
        <w:rPr>
          <w:color w:val="000000"/>
          <w:lang w:eastAsia="ru-RU"/>
        </w:rPr>
        <w:t>201</w:t>
      </w:r>
      <w:r w:rsidR="00F91317">
        <w:rPr>
          <w:color w:val="000000"/>
          <w:lang w:eastAsia="ru-RU"/>
        </w:rPr>
        <w:t>4</w:t>
      </w:r>
      <w:r w:rsidRPr="005127CE">
        <w:rPr>
          <w:color w:val="000000"/>
          <w:lang w:eastAsia="ru-RU"/>
        </w:rPr>
        <w:t xml:space="preserve"> год</w:t>
      </w:r>
      <w:r w:rsidR="00F91317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>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A55136">
        <w:rPr>
          <w:color w:val="000000"/>
          <w:lang w:eastAsia="ru-RU"/>
        </w:rPr>
        <w:t>1</w:t>
      </w:r>
      <w:r w:rsidR="00C52D54">
        <w:rPr>
          <w:color w:val="000000"/>
          <w:lang w:eastAsia="ru-RU"/>
        </w:rPr>
        <w:t>0</w:t>
      </w:r>
      <w:r w:rsidRPr="005127CE">
        <w:rPr>
          <w:color w:val="000000"/>
          <w:lang w:eastAsia="ru-RU"/>
        </w:rPr>
        <w:t>.201</w:t>
      </w:r>
      <w:r w:rsidR="00C52D54">
        <w:rPr>
          <w:color w:val="000000"/>
          <w:lang w:eastAsia="ru-RU"/>
        </w:rPr>
        <w:t>5</w:t>
      </w:r>
      <w:r w:rsidR="00543795">
        <w:rPr>
          <w:color w:val="000000"/>
          <w:lang w:eastAsia="ru-RU"/>
        </w:rPr>
        <w:t xml:space="preserve"> года </w:t>
      </w:r>
      <w:r w:rsidR="00BE5CBA">
        <w:rPr>
          <w:color w:val="000000"/>
          <w:lang w:eastAsia="ru-RU"/>
        </w:rPr>
        <w:t>составляет</w:t>
      </w:r>
      <w:r w:rsidR="00543795">
        <w:rPr>
          <w:color w:val="000000"/>
          <w:lang w:eastAsia="ru-RU"/>
        </w:rPr>
        <w:t xml:space="preserve"> </w:t>
      </w:r>
      <w:r w:rsidR="00D536E6">
        <w:rPr>
          <w:color w:val="000000"/>
          <w:lang w:eastAsia="ru-RU"/>
        </w:rPr>
        <w:t xml:space="preserve"> </w:t>
      </w:r>
      <w:r w:rsidR="00A55136">
        <w:rPr>
          <w:color w:val="000000"/>
          <w:lang w:eastAsia="ru-RU"/>
        </w:rPr>
        <w:t>5 497,1</w:t>
      </w:r>
      <w:r w:rsidR="00BE5CBA">
        <w:rPr>
          <w:color w:val="000000"/>
          <w:lang w:eastAsia="ru-RU"/>
        </w:rPr>
        <w:t xml:space="preserve"> тыс. рублей</w:t>
      </w:r>
      <w:r w:rsidRPr="005127CE">
        <w:rPr>
          <w:color w:val="000000"/>
          <w:lang w:eastAsia="ru-RU"/>
        </w:rPr>
        <w:t>.</w:t>
      </w:r>
    </w:p>
    <w:p w:rsidR="00F91317" w:rsidRDefault="00F91317" w:rsidP="00B71D03">
      <w:pPr>
        <w:spacing w:line="240" w:lineRule="auto"/>
        <w:rPr>
          <w:color w:val="000000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851"/>
        <w:gridCol w:w="709"/>
        <w:gridCol w:w="850"/>
        <w:gridCol w:w="425"/>
        <w:gridCol w:w="851"/>
        <w:gridCol w:w="425"/>
        <w:gridCol w:w="851"/>
      </w:tblGrid>
      <w:tr w:rsidR="00FC7F83" w:rsidRPr="002B6BAD" w:rsidTr="00212341">
        <w:trPr>
          <w:trHeight w:val="990"/>
        </w:trPr>
        <w:tc>
          <w:tcPr>
            <w:tcW w:w="11199" w:type="dxa"/>
            <w:gridSpan w:val="8"/>
            <w:shd w:val="clear" w:color="auto" w:fill="8DB3E2"/>
            <w:noWrap/>
            <w:vAlign w:val="bottom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Динамика просроченной задолженности консолидированного бюджета муниципального района «Забайка</w:t>
            </w:r>
            <w:r w:rsidR="009864B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льский район» по состоянию на</w:t>
            </w:r>
            <w:r w:rsidR="000109B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01.10</w:t>
            </w:r>
            <w:r w:rsidR="00461B9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.2015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FC7F83" w:rsidRPr="00226FD1" w:rsidRDefault="00FC7F83" w:rsidP="00B71D0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14112" w:rsidRPr="00226FD1" w:rsidTr="00212341">
        <w:trPr>
          <w:cantSplit/>
          <w:trHeight w:val="1185"/>
        </w:trPr>
        <w:tc>
          <w:tcPr>
            <w:tcW w:w="6237" w:type="dxa"/>
            <w:shd w:val="clear" w:color="auto" w:fill="FFFF66"/>
            <w:noWrap/>
            <w:vAlign w:val="bottom"/>
          </w:tcPr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01.01.2011</w:t>
            </w:r>
          </w:p>
        </w:tc>
        <w:tc>
          <w:tcPr>
            <w:tcW w:w="709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на01.01.2012</w:t>
            </w:r>
          </w:p>
        </w:tc>
        <w:tc>
          <w:tcPr>
            <w:tcW w:w="850" w:type="dxa"/>
            <w:shd w:val="clear" w:color="auto" w:fill="FFFF66"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 w:rsidR="004D2646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01.01.2011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 w:rsidR="004D2646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01.01.2012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0109BF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 w:rsidR="000109BF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10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287C91" w:rsidRPr="000109BF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+),снижение (-) с 01.0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314112" w:rsidRPr="000915CB" w:rsidTr="00212341">
        <w:trPr>
          <w:trHeight w:val="640"/>
        </w:trPr>
        <w:tc>
          <w:tcPr>
            <w:tcW w:w="6237" w:type="dxa"/>
            <w:noWrap/>
            <w:vAlign w:val="center"/>
          </w:tcPr>
          <w:p w:rsidR="00314112" w:rsidRPr="00D86000" w:rsidRDefault="00314112" w:rsidP="002123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4612,8</w:t>
            </w:r>
          </w:p>
        </w:tc>
        <w:tc>
          <w:tcPr>
            <w:tcW w:w="709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693,5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-3919,3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-693,5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8DB3E2"/>
          </w:tcPr>
          <w:p w:rsidR="00FC7F83" w:rsidRPr="00B71D03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2B6BAD">
              <w:rPr>
                <w:b/>
                <w:bCs/>
                <w:i/>
                <w:iCs/>
                <w:sz w:val="32"/>
                <w:szCs w:val="32"/>
              </w:rPr>
              <w:t>ОБЪЕМ МУНИЦИПАЛЬНОГО ДОЛГА</w:t>
            </w:r>
          </w:p>
          <w:p w:rsidR="00FC7F83" w:rsidRPr="002B6BAD" w:rsidRDefault="00FC7F83" w:rsidP="00B71D0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B6BAD">
              <w:rPr>
                <w:b/>
                <w:bCs/>
                <w:i/>
                <w:iCs/>
              </w:rPr>
              <w:t>КОНСОЛИДИРОВАННЫЙ  БЮДЖЕТ</w:t>
            </w:r>
          </w:p>
        </w:tc>
      </w:tr>
    </w:tbl>
    <w:p w:rsidR="00FC7F83" w:rsidRDefault="00155CF7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110730" cy="2915285"/>
            <wp:effectExtent l="19050" t="0" r="139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230E" w:rsidRDefault="004F230E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2B6BAD">
              <w:rPr>
                <w:b/>
                <w:bCs/>
                <w:i/>
                <w:iCs/>
                <w:lang w:eastAsia="ru-RU"/>
              </w:rPr>
              <w:t>РАЙОННЫЙ БЮДЖЕТ</w:t>
            </w:r>
          </w:p>
        </w:tc>
      </w:tr>
    </w:tbl>
    <w:p w:rsidR="00FC7F83" w:rsidRDefault="00155CF7" w:rsidP="004F230E">
      <w:pPr>
        <w:spacing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10730" cy="3267075"/>
            <wp:effectExtent l="19050" t="0" r="1397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tbl>
      <w:tblPr>
        <w:tblW w:w="11272" w:type="dxa"/>
        <w:tblInd w:w="108" w:type="dxa"/>
        <w:tblLook w:val="00A0" w:firstRow="1" w:lastRow="0" w:firstColumn="1" w:lastColumn="0" w:noHBand="0" w:noVBand="0"/>
      </w:tblPr>
      <w:tblGrid>
        <w:gridCol w:w="6864"/>
        <w:gridCol w:w="1695"/>
        <w:gridCol w:w="1365"/>
        <w:gridCol w:w="1348"/>
      </w:tblGrid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r w:rsidR="00174684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мероприятий в рамках 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 (</w:t>
            </w:r>
            <w:proofErr w:type="spell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635AD4">
        <w:trPr>
          <w:trHeight w:val="312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0109BF" w:rsidRDefault="00FC7F83" w:rsidP="00F9131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0109B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635AD4">
        <w:trPr>
          <w:trHeight w:val="687"/>
        </w:trPr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2B6BAD" w:rsidTr="00635AD4">
        <w:trPr>
          <w:trHeight w:val="59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635AD4" w:rsidP="00635AD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35A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 по развитию</w:t>
            </w:r>
            <w:r w:rsidR="00174684" w:rsidRPr="00635A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технического оснащения и телекоммуникационной инфраструктуры</w:t>
            </w:r>
            <w:r w:rsidRPr="00635AD4">
              <w:rPr>
                <w:rFonts w:cs="Times New Roman"/>
                <w:color w:val="000000"/>
                <w:sz w:val="24"/>
                <w:szCs w:val="24"/>
                <w:lang w:eastAsia="ru-RU"/>
              </w:rPr>
              <w:t>, развитие программного комплекса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</w:t>
            </w:r>
          </w:p>
        </w:tc>
      </w:tr>
      <w:tr w:rsidR="00C94E67" w:rsidRPr="002B6BAD" w:rsidTr="00635AD4">
        <w:trPr>
          <w:trHeight w:val="57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  <w:r w:rsidR="00A55136">
              <w:rPr>
                <w:color w:val="000000"/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</w:tr>
      <w:tr w:rsidR="00C94E67" w:rsidRPr="002B6BAD" w:rsidTr="00635AD4">
        <w:trPr>
          <w:trHeight w:val="5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A55136" w:rsidP="00A55136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  <w:r>
              <w:rPr>
                <w:color w:val="000000"/>
                <w:sz w:val="24"/>
                <w:szCs w:val="24"/>
              </w:rPr>
              <w:t xml:space="preserve"> (краевой бюджет)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1 636,9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C94E67" w:rsidRPr="002B6BAD" w:rsidTr="00635AD4">
        <w:trPr>
          <w:trHeight w:val="24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поддержки и развитию агропромышленного комплекса муниципального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174684" w:rsidP="00AA26EF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строительству и ремонту объектов для захоронения и утилизации биологических отходов на территории муниципального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A55136" w:rsidP="00F9131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635AD4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35AD4">
              <w:rPr>
                <w:color w:val="000000"/>
                <w:sz w:val="24"/>
                <w:szCs w:val="24"/>
              </w:rPr>
              <w:t xml:space="preserve"> направленные на обеспечение бесплатным питанием детей из малоимущих семей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60,4</w:t>
            </w:r>
          </w:p>
        </w:tc>
      </w:tr>
      <w:tr w:rsidR="00C94E67" w:rsidRPr="002B6BAD" w:rsidTr="00635AD4">
        <w:trPr>
          <w:trHeight w:val="20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F91317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635AD4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35AD4">
              <w:rPr>
                <w:color w:val="000000"/>
                <w:sz w:val="24"/>
                <w:szCs w:val="24"/>
              </w:rPr>
              <w:t xml:space="preserve"> </w:t>
            </w:r>
            <w:r w:rsidR="00F91317" w:rsidRPr="00635AD4">
              <w:rPr>
                <w:color w:val="000000"/>
                <w:sz w:val="24"/>
                <w:szCs w:val="24"/>
              </w:rPr>
              <w:t>направленные на улучшение условий охраны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94E67" w:rsidRPr="002B6BAD" w:rsidTr="00635AD4">
        <w:trPr>
          <w:trHeight w:val="4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C94E67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Субсидия на предоставление молодым семьям социальных выплат на приобретение жилья или строительство индивидуального жилого дома</w:t>
            </w:r>
            <w:r w:rsidR="00C15B78" w:rsidRPr="00635AD4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Реализация мероприятий на обеспечение доступности объектов и услуг для инвалидов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8</w:t>
            </w:r>
            <w:r w:rsidR="0083145B"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3145B"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3145B"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5B78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A55136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подпрограммы «Обеспечение жильем молодых семей»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5B78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635AD4" w:rsidP="00AA26E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635AD4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35AD4">
              <w:rPr>
                <w:color w:val="000000"/>
                <w:sz w:val="24"/>
                <w:szCs w:val="24"/>
              </w:rPr>
              <w:t xml:space="preserve"> направленные на техническую </w:t>
            </w:r>
            <w:proofErr w:type="spellStart"/>
            <w:r w:rsidRPr="00635AD4">
              <w:rPr>
                <w:color w:val="000000"/>
                <w:sz w:val="24"/>
                <w:szCs w:val="24"/>
              </w:rPr>
              <w:t>укрепленность</w:t>
            </w:r>
            <w:proofErr w:type="spellEnd"/>
            <w:r w:rsidRPr="00635AD4">
              <w:rPr>
                <w:color w:val="000000"/>
                <w:sz w:val="24"/>
                <w:szCs w:val="24"/>
              </w:rPr>
              <w:t xml:space="preserve"> зданий и оснащение мебелью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2 934,1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635AD4" w:rsidRDefault="00A5513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44,8</w:t>
            </w:r>
          </w:p>
        </w:tc>
      </w:tr>
      <w:tr w:rsidR="00326623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Pr="00635AD4" w:rsidRDefault="00A55136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реализацию</w:t>
            </w:r>
            <w:r w:rsidR="003E254A">
              <w:rPr>
                <w:color w:val="000000"/>
                <w:sz w:val="24"/>
                <w:szCs w:val="24"/>
              </w:rPr>
              <w:t xml:space="preserve"> мероприятий по созданию в общеобразовательных организациях условий для инклюзивного образования детей-инвалидов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Default="003E25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2 053,3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26623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Default="00326623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Default="003E25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Default="003E25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266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26623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Default="00326623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доступности объектов и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254A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4A" w:rsidRDefault="003E254A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Подключение общедоступных библиотек Российской Федерации в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4A" w:rsidRDefault="003E25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4A" w:rsidRDefault="003E25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254A" w:rsidRDefault="003E25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254A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4A" w:rsidRDefault="003E254A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жилых помещений отдельных категорий граждан, установленных Федеральным законом от 12.01.1995 г. № 5-ФЗ «О ветеранах»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4A" w:rsidRDefault="003E25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54A" w:rsidRDefault="003E25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254A" w:rsidRDefault="003E254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63D8B" w:rsidRDefault="00763D8B" w:rsidP="00B71D03">
      <w:pPr>
        <w:spacing w:line="240" w:lineRule="auto"/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1306"/>
        <w:gridCol w:w="1276"/>
        <w:gridCol w:w="1883"/>
        <w:gridCol w:w="1284"/>
        <w:gridCol w:w="497"/>
        <w:gridCol w:w="830"/>
        <w:gridCol w:w="716"/>
        <w:gridCol w:w="1168"/>
      </w:tblGrid>
      <w:tr w:rsidR="00FC7F83" w:rsidRPr="002B6BAD" w:rsidTr="00552CCE">
        <w:trPr>
          <w:trHeight w:val="300"/>
        </w:trPr>
        <w:tc>
          <w:tcPr>
            <w:tcW w:w="11198" w:type="dxa"/>
            <w:gridSpan w:val="9"/>
            <w:vMerge w:val="restart"/>
            <w:shd w:val="clear" w:color="auto" w:fill="8DB3E2"/>
            <w:vAlign w:val="center"/>
          </w:tcPr>
          <w:p w:rsidR="00FC7F83" w:rsidRPr="00B71D03" w:rsidRDefault="004F230E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оказатели исполнения районного бюджета муниципального района «Забайкальский </w:t>
            </w:r>
            <w:r w:rsidR="004D2646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район» (</w:t>
            </w:r>
            <w:proofErr w:type="spellStart"/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C7F83" w:rsidRPr="002B6BAD" w:rsidTr="00552CCE">
        <w:trPr>
          <w:trHeight w:val="293"/>
        </w:trPr>
        <w:tc>
          <w:tcPr>
            <w:tcW w:w="11198" w:type="dxa"/>
            <w:gridSpan w:val="9"/>
            <w:vMerge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F17144">
        <w:trPr>
          <w:trHeight w:val="79"/>
        </w:trPr>
        <w:tc>
          <w:tcPr>
            <w:tcW w:w="3544" w:type="dxa"/>
            <w:gridSpan w:val="2"/>
            <w:vMerge w:val="restart"/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FFF66"/>
            <w:vAlign w:val="center"/>
          </w:tcPr>
          <w:p w:rsidR="00FC7F83" w:rsidRPr="002B6BAD" w:rsidRDefault="00FC7F83" w:rsidP="00C5534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5534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4" w:type="dxa"/>
            <w:gridSpan w:val="4"/>
            <w:shd w:val="clear" w:color="auto" w:fill="FFFF66"/>
            <w:vAlign w:val="center"/>
          </w:tcPr>
          <w:p w:rsidR="00FC7F83" w:rsidRPr="002B6BAD" w:rsidRDefault="00FC7F83" w:rsidP="00635AD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635AD4"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84" w:type="dxa"/>
            <w:gridSpan w:val="2"/>
            <w:vMerge w:val="restart"/>
            <w:shd w:val="clear" w:color="auto" w:fill="FFFF66"/>
            <w:vAlign w:val="center"/>
          </w:tcPr>
          <w:p w:rsidR="00FC7F83" w:rsidRPr="002B6BAD" w:rsidRDefault="00FC7F83" w:rsidP="00C349E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C349E9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C349E9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F17144">
        <w:trPr>
          <w:trHeight w:val="481"/>
        </w:trPr>
        <w:tc>
          <w:tcPr>
            <w:tcW w:w="3544" w:type="dxa"/>
            <w:gridSpan w:val="2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284" w:type="dxa"/>
            <w:shd w:val="clear" w:color="auto" w:fill="FFFF66"/>
            <w:vAlign w:val="center"/>
          </w:tcPr>
          <w:p w:rsidR="00FC7F83" w:rsidRPr="002B6BAD" w:rsidRDefault="00FC7F83" w:rsidP="00C5534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5534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.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gridSpan w:val="2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884" w:type="dxa"/>
            <w:gridSpan w:val="2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54F2" w:rsidRPr="002B6BAD" w:rsidTr="00F17144">
        <w:trPr>
          <w:trHeight w:val="193"/>
        </w:trPr>
        <w:tc>
          <w:tcPr>
            <w:tcW w:w="3544" w:type="dxa"/>
            <w:gridSpan w:val="2"/>
            <w:vAlign w:val="bottom"/>
          </w:tcPr>
          <w:p w:rsidR="00FF54F2" w:rsidRPr="002B6BAD" w:rsidRDefault="00FF54F2" w:rsidP="00FF54F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FF54F2" w:rsidRDefault="00C55348" w:rsidP="001335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  <w:r w:rsidR="003E25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673,7</w:t>
            </w:r>
          </w:p>
        </w:tc>
        <w:tc>
          <w:tcPr>
            <w:tcW w:w="1883" w:type="dxa"/>
            <w:vAlign w:val="bottom"/>
          </w:tcPr>
          <w:p w:rsidR="00FF54F2" w:rsidRDefault="00C5534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  <w:r w:rsidR="003E25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773,4</w:t>
            </w:r>
          </w:p>
        </w:tc>
        <w:tc>
          <w:tcPr>
            <w:tcW w:w="1284" w:type="dxa"/>
            <w:vAlign w:val="bottom"/>
          </w:tcPr>
          <w:p w:rsidR="00FF54F2" w:rsidRPr="00D478BF" w:rsidRDefault="00C55348" w:rsidP="008B2BAB">
            <w:pPr>
              <w:spacing w:after="0"/>
              <w:jc w:val="center"/>
              <w:rPr>
                <w:color w:val="000000" w:themeColor="text1"/>
              </w:rPr>
            </w:pPr>
            <w:r w:rsidRPr="00D478BF">
              <w:rPr>
                <w:color w:val="000000" w:themeColor="text1"/>
              </w:rPr>
              <w:t>348</w:t>
            </w:r>
            <w:r w:rsidR="003E254A" w:rsidRPr="00D478BF">
              <w:rPr>
                <w:color w:val="000000" w:themeColor="text1"/>
              </w:rPr>
              <w:t xml:space="preserve"> </w:t>
            </w:r>
            <w:r w:rsidRPr="00D478BF">
              <w:rPr>
                <w:color w:val="000000" w:themeColor="text1"/>
              </w:rPr>
              <w:t>229,5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F54F2" w:rsidRDefault="00C55348" w:rsidP="004374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1884" w:type="dxa"/>
            <w:gridSpan w:val="2"/>
            <w:vAlign w:val="bottom"/>
          </w:tcPr>
          <w:p w:rsidR="00FF54F2" w:rsidRDefault="00C55348" w:rsidP="004374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3E25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555,8</w:t>
            </w:r>
          </w:p>
        </w:tc>
      </w:tr>
      <w:tr w:rsidR="006940D2" w:rsidRPr="002B6BAD" w:rsidTr="00F17144">
        <w:trPr>
          <w:trHeight w:val="155"/>
        </w:trPr>
        <w:tc>
          <w:tcPr>
            <w:tcW w:w="3544" w:type="dxa"/>
            <w:gridSpan w:val="2"/>
            <w:vAlign w:val="bottom"/>
          </w:tcPr>
          <w:p w:rsidR="006940D2" w:rsidRPr="002B6BAD" w:rsidRDefault="006940D2" w:rsidP="006940D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40D2" w:rsidRDefault="003E254A" w:rsidP="008B2BAB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286 179,6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940D2" w:rsidRDefault="003E254A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418 681,3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6940D2" w:rsidRDefault="003E254A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335 242,1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6940D2" w:rsidRDefault="003E254A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1884" w:type="dxa"/>
            <w:gridSpan w:val="2"/>
            <w:shd w:val="clear" w:color="auto" w:fill="auto"/>
            <w:vAlign w:val="bottom"/>
          </w:tcPr>
          <w:p w:rsidR="006940D2" w:rsidRDefault="003E254A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49 062,5</w:t>
            </w:r>
          </w:p>
        </w:tc>
      </w:tr>
      <w:tr w:rsidR="00FC7F83" w:rsidRPr="002B6BAD" w:rsidTr="00F17144">
        <w:trPr>
          <w:trHeight w:val="315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FF54F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276" w:type="dxa"/>
            <w:vAlign w:val="bottom"/>
          </w:tcPr>
          <w:p w:rsidR="00FC7F83" w:rsidRPr="00DF4AB1" w:rsidRDefault="000109BF" w:rsidP="00DF4AB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20 494,1</w:t>
            </w:r>
          </w:p>
        </w:tc>
        <w:tc>
          <w:tcPr>
            <w:tcW w:w="1883" w:type="dxa"/>
            <w:vAlign w:val="bottom"/>
          </w:tcPr>
          <w:p w:rsidR="00FC7F83" w:rsidRPr="005F00A0" w:rsidRDefault="001579F3" w:rsidP="005F00A0">
            <w:pPr>
              <w:spacing w:after="0"/>
              <w:jc w:val="center"/>
              <w:rPr>
                <w:color w:val="000000" w:themeColor="text1"/>
              </w:rPr>
            </w:pPr>
            <w:r w:rsidRPr="005F00A0">
              <w:rPr>
                <w:color w:val="000000" w:themeColor="text1"/>
              </w:rPr>
              <w:t>-</w:t>
            </w:r>
            <w:r w:rsidR="005F00A0" w:rsidRPr="005F00A0">
              <w:rPr>
                <w:color w:val="000000" w:themeColor="text1"/>
              </w:rPr>
              <w:t>7 907,9</w:t>
            </w:r>
          </w:p>
        </w:tc>
        <w:tc>
          <w:tcPr>
            <w:tcW w:w="1284" w:type="dxa"/>
            <w:vAlign w:val="bottom"/>
          </w:tcPr>
          <w:p w:rsidR="00FC7F83" w:rsidRDefault="00D478BF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12 987,4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33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 xml:space="preserve">Источники финансирования, в </w:t>
            </w:r>
            <w:proofErr w:type="spellStart"/>
            <w:r w:rsidRPr="002B6BAD">
              <w:rPr>
                <w:color w:val="000000"/>
                <w:lang w:eastAsia="ru-RU"/>
              </w:rPr>
              <w:t>т.ч</w:t>
            </w:r>
            <w:proofErr w:type="spellEnd"/>
            <w:r w:rsidRPr="002B6BAD">
              <w:rPr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vAlign w:val="bottom"/>
          </w:tcPr>
          <w:p w:rsidR="00FC7F83" w:rsidRPr="00DF4AB1" w:rsidRDefault="00DF4AB1" w:rsidP="000109B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09BF">
              <w:rPr>
                <w:color w:val="000000"/>
              </w:rPr>
              <w:t>20 494,1</w:t>
            </w:r>
          </w:p>
        </w:tc>
        <w:tc>
          <w:tcPr>
            <w:tcW w:w="1883" w:type="dxa"/>
            <w:vAlign w:val="bottom"/>
          </w:tcPr>
          <w:p w:rsidR="00FC7F83" w:rsidRDefault="005F00A0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7 907,9</w:t>
            </w:r>
          </w:p>
        </w:tc>
        <w:tc>
          <w:tcPr>
            <w:tcW w:w="1284" w:type="dxa"/>
            <w:vAlign w:val="bottom"/>
          </w:tcPr>
          <w:p w:rsidR="00FC7F83" w:rsidRDefault="001579F3" w:rsidP="00D478B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478BF">
              <w:rPr>
                <w:color w:val="000000"/>
              </w:rPr>
              <w:t>12 987,4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48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276" w:type="dxa"/>
            <w:vAlign w:val="bottom"/>
          </w:tcPr>
          <w:p w:rsidR="00FC7F83" w:rsidRPr="00DF4AB1" w:rsidRDefault="00DF4AB1" w:rsidP="000109B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09BF">
              <w:rPr>
                <w:color w:val="000000"/>
              </w:rPr>
              <w:t>20 494,1</w:t>
            </w:r>
          </w:p>
        </w:tc>
        <w:tc>
          <w:tcPr>
            <w:tcW w:w="1883" w:type="dxa"/>
            <w:vAlign w:val="bottom"/>
          </w:tcPr>
          <w:p w:rsidR="00FC7F83" w:rsidRDefault="005F00A0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  <w:tc>
          <w:tcPr>
            <w:tcW w:w="1284" w:type="dxa"/>
            <w:vAlign w:val="bottom"/>
          </w:tcPr>
          <w:p w:rsidR="00FC7F83" w:rsidRDefault="00D478BF" w:rsidP="00D478B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-12 987,4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300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276" w:type="dxa"/>
            <w:vAlign w:val="bottom"/>
          </w:tcPr>
          <w:p w:rsidR="00FC7F83" w:rsidRDefault="000109BF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</w:tc>
        <w:tc>
          <w:tcPr>
            <w:tcW w:w="1883" w:type="dxa"/>
            <w:vAlign w:val="bottom"/>
          </w:tcPr>
          <w:p w:rsidR="00FC7F83" w:rsidRDefault="001579F3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4 748,1</w:t>
            </w:r>
          </w:p>
        </w:tc>
        <w:tc>
          <w:tcPr>
            <w:tcW w:w="1284" w:type="dxa"/>
            <w:vAlign w:val="bottom"/>
          </w:tcPr>
          <w:p w:rsidR="00FC7F83" w:rsidRDefault="00D478BF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-612,8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55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FC7F83" w:rsidRDefault="000109BF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-3 000,0</w:t>
            </w:r>
          </w:p>
        </w:tc>
        <w:tc>
          <w:tcPr>
            <w:tcW w:w="1883" w:type="dxa"/>
            <w:vAlign w:val="bottom"/>
          </w:tcPr>
          <w:p w:rsidR="00FC7F83" w:rsidRDefault="005F1DF5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</w:t>
            </w:r>
            <w:r w:rsidR="002C78D7">
              <w:rPr>
                <w:color w:val="000000"/>
              </w:rPr>
              <w:t>,0</w:t>
            </w:r>
          </w:p>
        </w:tc>
        <w:tc>
          <w:tcPr>
            <w:tcW w:w="1284" w:type="dxa"/>
            <w:vAlign w:val="bottom"/>
          </w:tcPr>
          <w:p w:rsidR="00FC7F83" w:rsidRDefault="00D478BF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612,8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552CCE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1198" w:type="dxa"/>
            <w:gridSpan w:val="9"/>
            <w:shd w:val="clear" w:color="auto" w:fill="8DB3E2"/>
          </w:tcPr>
          <w:p w:rsidR="00B65614" w:rsidRDefault="00FC7F83" w:rsidP="00B6561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Исполнение  доходной части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районного </w:t>
            </w: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бюджета муниципального района «Забайкальский район» </w:t>
            </w:r>
          </w:p>
          <w:p w:rsidR="00FC7F83" w:rsidRPr="002B6BAD" w:rsidRDefault="00DC355D" w:rsidP="00C5534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На 01.</w:t>
            </w:r>
            <w:r w:rsidR="00C55348"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5F1DF5">
              <w:rPr>
                <w:b/>
                <w:bCs/>
                <w:i/>
                <w:iCs/>
                <w:sz w:val="24"/>
                <w:szCs w:val="24"/>
              </w:rPr>
              <w:t>.2015</w:t>
            </w:r>
            <w:r w:rsidR="00C44C84">
              <w:rPr>
                <w:b/>
                <w:bCs/>
                <w:i/>
                <w:iCs/>
                <w:sz w:val="24"/>
                <w:szCs w:val="24"/>
              </w:rPr>
              <w:t xml:space="preserve"> год</w:t>
            </w:r>
            <w:r w:rsidR="0039716B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FC7F83" w:rsidRPr="002B6BAD">
              <w:rPr>
                <w:b/>
                <w:bCs/>
                <w:i/>
                <w:iCs/>
                <w:sz w:val="24"/>
                <w:szCs w:val="24"/>
              </w:rPr>
              <w:t xml:space="preserve"> (тыс. руб.)       </w:t>
            </w:r>
          </w:p>
        </w:tc>
      </w:tr>
      <w:tr w:rsidR="00FC7F83" w:rsidRPr="002B6BAD" w:rsidTr="00833178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2238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 xml:space="preserve">Код </w:t>
            </w:r>
            <w:proofErr w:type="gramStart"/>
            <w:r w:rsidRPr="002B6BAD">
              <w:rPr>
                <w:i/>
                <w:iCs/>
                <w:sz w:val="20"/>
                <w:szCs w:val="20"/>
              </w:rPr>
              <w:t>по</w:t>
            </w:r>
            <w:proofErr w:type="gramEnd"/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БК</w:t>
            </w:r>
          </w:p>
        </w:tc>
        <w:tc>
          <w:tcPr>
            <w:tcW w:w="4465" w:type="dxa"/>
            <w:gridSpan w:val="3"/>
            <w:shd w:val="clear" w:color="auto" w:fill="FFFF66"/>
            <w:vAlign w:val="center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781" w:type="dxa"/>
            <w:gridSpan w:val="2"/>
            <w:shd w:val="clear" w:color="auto" w:fill="FFFF66"/>
            <w:vAlign w:val="center"/>
          </w:tcPr>
          <w:p w:rsidR="00FC7F83" w:rsidRPr="00836EED" w:rsidRDefault="00FC7F83" w:rsidP="005F1DF5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5F1DF5"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546" w:type="dxa"/>
            <w:gridSpan w:val="2"/>
            <w:shd w:val="clear" w:color="auto" w:fill="FFFF66"/>
            <w:vAlign w:val="center"/>
          </w:tcPr>
          <w:p w:rsidR="00FC7F83" w:rsidRPr="002B6BAD" w:rsidRDefault="005F1DF5" w:rsidP="00C5534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Фактически поступило н</w:t>
            </w:r>
            <w:r w:rsidR="00FC7F83" w:rsidRPr="002B6BAD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C355D">
              <w:rPr>
                <w:b/>
                <w:bCs/>
                <w:i/>
                <w:iCs/>
                <w:sz w:val="20"/>
                <w:szCs w:val="20"/>
              </w:rPr>
              <w:t>01.</w:t>
            </w:r>
            <w:r w:rsidR="00C55348">
              <w:rPr>
                <w:b/>
                <w:bCs/>
                <w:i/>
                <w:iCs/>
                <w:sz w:val="20"/>
                <w:szCs w:val="20"/>
              </w:rPr>
              <w:t>10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FC7F83"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FC7F83"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168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line="240" w:lineRule="auto"/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</w:tr>
      <w:tr w:rsidR="00FC7F83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C7F83" w:rsidP="00B71D03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 w:rsidRPr="00836EED">
              <w:rPr>
                <w:rFonts w:ascii="Calibri" w:hAnsi="Calibri" w:cs="Calibri"/>
                <w:sz w:val="22"/>
                <w:szCs w:val="22"/>
              </w:rPr>
              <w:t xml:space="preserve">Доходы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C5534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  <w:r w:rsidR="003E25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411,2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C5534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3E254A">
              <w:rPr>
                <w:b/>
                <w:bCs/>
              </w:rPr>
              <w:t xml:space="preserve"> </w:t>
            </w:r>
            <w:r w:rsidR="00081234">
              <w:rPr>
                <w:b/>
                <w:bCs/>
              </w:rPr>
              <w:t>511,8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C5534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74,8</w:t>
            </w:r>
          </w:p>
        </w:tc>
      </w:tr>
      <w:tr w:rsidR="00FC7F83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C55348" w:rsidP="002C0A6F">
            <w:pPr>
              <w:spacing w:after="0" w:line="240" w:lineRule="auto"/>
              <w:jc w:val="center"/>
            </w:pPr>
            <w:r>
              <w:t>97</w:t>
            </w:r>
            <w:r w:rsidR="003E254A">
              <w:t xml:space="preserve"> </w:t>
            </w:r>
            <w:r>
              <w:t>942,4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C55348" w:rsidP="00B71D03">
            <w:pPr>
              <w:spacing w:after="0" w:line="240" w:lineRule="auto"/>
              <w:jc w:val="center"/>
            </w:pPr>
            <w:r>
              <w:t>59</w:t>
            </w:r>
            <w:r w:rsidR="003E254A">
              <w:t xml:space="preserve"> </w:t>
            </w:r>
            <w:r>
              <w:t>989,6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C55348" w:rsidP="00B71D03">
            <w:pPr>
              <w:spacing w:after="0" w:line="240" w:lineRule="auto"/>
              <w:jc w:val="center"/>
            </w:pPr>
            <w:r>
              <w:t>61,2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39716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3</w:t>
            </w:r>
            <w:r w:rsidRPr="002B6BAD">
              <w:rPr>
                <w:sz w:val="20"/>
                <w:szCs w:val="20"/>
              </w:rPr>
              <w:t xml:space="preserve"> 02000 01 0000 110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Default="00C55348" w:rsidP="00B71D03">
            <w:pPr>
              <w:spacing w:after="0" w:line="240" w:lineRule="auto"/>
              <w:jc w:val="center"/>
            </w:pPr>
            <w:r>
              <w:t>5</w:t>
            </w:r>
            <w:r w:rsidR="003E254A">
              <w:t xml:space="preserve"> </w:t>
            </w:r>
            <w:r>
              <w:t>739,0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4</w:t>
            </w:r>
            <w:r w:rsidR="003E254A">
              <w:t xml:space="preserve"> </w:t>
            </w:r>
            <w:r>
              <w:t>042,5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70,4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1 05 00000 00 0000 000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13</w:t>
            </w:r>
            <w:r w:rsidR="003E254A">
              <w:t xml:space="preserve"> </w:t>
            </w:r>
            <w:r>
              <w:t>251,0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CD3E7E">
            <w:pPr>
              <w:spacing w:after="0" w:line="240" w:lineRule="auto"/>
              <w:jc w:val="center"/>
            </w:pPr>
            <w:r>
              <w:t>9</w:t>
            </w:r>
            <w:r w:rsidR="003E254A">
              <w:t xml:space="preserve"> </w:t>
            </w:r>
            <w:r>
              <w:t>354,7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70,6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1 0700000 00 0000 000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310,2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081234" w:rsidP="00B71D03">
            <w:pPr>
              <w:spacing w:after="0" w:line="240" w:lineRule="auto"/>
              <w:jc w:val="center"/>
            </w:pPr>
            <w:r>
              <w:t>165,2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53,2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1 08 00000  00 0000 000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1</w:t>
            </w:r>
            <w:r w:rsidR="003E254A">
              <w:t xml:space="preserve"> </w:t>
            </w:r>
            <w:r>
              <w:t>856,0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2</w:t>
            </w:r>
            <w:r w:rsidR="003E254A">
              <w:t xml:space="preserve"> </w:t>
            </w:r>
            <w:r>
              <w:t>722,6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146,7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1 11 00000 00 0000 000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Доходы от использования имущества</w:t>
            </w:r>
            <w:r w:rsidR="00F67020">
              <w:rPr>
                <w:sz w:val="20"/>
                <w:szCs w:val="20"/>
              </w:rPr>
              <w:t xml:space="preserve">, находящегося в гос.  и </w:t>
            </w:r>
            <w:proofErr w:type="spellStart"/>
            <w:r w:rsidR="00F67020">
              <w:rPr>
                <w:sz w:val="20"/>
                <w:szCs w:val="20"/>
              </w:rPr>
              <w:t>муниц</w:t>
            </w:r>
            <w:proofErr w:type="spellEnd"/>
            <w:r w:rsidR="00F67020">
              <w:rPr>
                <w:sz w:val="20"/>
                <w:szCs w:val="20"/>
              </w:rPr>
              <w:t>.</w:t>
            </w:r>
            <w:r w:rsidRPr="002B6BAD">
              <w:rPr>
                <w:sz w:val="20"/>
                <w:szCs w:val="20"/>
              </w:rPr>
              <w:t xml:space="preserve"> собственности    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21</w:t>
            </w:r>
            <w:r w:rsidR="003E254A">
              <w:t xml:space="preserve"> </w:t>
            </w:r>
            <w:r>
              <w:t>024,3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25</w:t>
            </w:r>
            <w:r w:rsidR="003E254A">
              <w:t xml:space="preserve"> </w:t>
            </w:r>
            <w:r>
              <w:t>556,3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121,5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1 12 00000 00 0000 000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Пл</w:t>
            </w:r>
            <w:r w:rsidR="00F67020">
              <w:rPr>
                <w:sz w:val="20"/>
                <w:szCs w:val="20"/>
              </w:rPr>
              <w:t xml:space="preserve">атежи при пользовании </w:t>
            </w:r>
            <w:proofErr w:type="spellStart"/>
            <w:r w:rsidR="00F67020">
              <w:rPr>
                <w:sz w:val="20"/>
                <w:szCs w:val="20"/>
              </w:rPr>
              <w:t>природн</w:t>
            </w:r>
            <w:proofErr w:type="spellEnd"/>
            <w:r w:rsidR="00F67020">
              <w:rPr>
                <w:sz w:val="20"/>
                <w:szCs w:val="20"/>
              </w:rPr>
              <w:t>.</w:t>
            </w:r>
            <w:r w:rsidRPr="002B6BAD">
              <w:rPr>
                <w:sz w:val="20"/>
                <w:szCs w:val="20"/>
              </w:rPr>
              <w:t xml:space="preserve"> ресурсами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1</w:t>
            </w:r>
            <w:r w:rsidR="003E254A">
              <w:t xml:space="preserve"> </w:t>
            </w:r>
            <w:r>
              <w:t>685,5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606,2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35,9</w:t>
            </w:r>
          </w:p>
        </w:tc>
      </w:tr>
      <w:tr w:rsidR="00C55348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8" w:rsidRPr="00836EED" w:rsidRDefault="00C55348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1 13 00000 00 0000 000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8" w:rsidRPr="002B6BAD" w:rsidRDefault="00C55348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8" w:rsidRDefault="00C55348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8" w:rsidRDefault="00C55348" w:rsidP="00B71D03">
            <w:pPr>
              <w:spacing w:after="0" w:line="240" w:lineRule="auto"/>
              <w:jc w:val="center"/>
            </w:pPr>
            <w:r>
              <w:t>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348" w:rsidRDefault="00C55348" w:rsidP="00B71D0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1 14 00000 00 0000 000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962,8</w:t>
            </w:r>
            <w:bookmarkStart w:id="0" w:name="_GoBack"/>
            <w:bookmarkEnd w:id="0"/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1</w:t>
            </w:r>
            <w:r w:rsidR="003E254A">
              <w:t xml:space="preserve"> </w:t>
            </w:r>
            <w:r>
              <w:t>192,2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123,8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1 16 00000 00 0000 000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Штрафы, санкции, возмещение ущерба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3</w:t>
            </w:r>
            <w:r w:rsidR="003E254A">
              <w:t xml:space="preserve"> </w:t>
            </w:r>
            <w:r>
              <w:t>640,0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5</w:t>
            </w:r>
            <w:r w:rsidR="003E254A">
              <w:t xml:space="preserve"> </w:t>
            </w:r>
            <w:r>
              <w:t>880,3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161,5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836EED">
              <w:rPr>
                <w:rFonts w:ascii="Calibri" w:hAnsi="Calibri" w:cs="Calibri"/>
                <w:sz w:val="18"/>
                <w:szCs w:val="18"/>
              </w:rPr>
              <w:t xml:space="preserve">1 17  00000   00  0000  000    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ind w:left="-108" w:right="-108"/>
              <w:jc w:val="center"/>
            </w:pPr>
            <w:r>
              <w:t>0,0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D001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  <w:r w:rsidR="003E25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362,2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  <w:r w:rsidR="003E25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717,7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90,3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CD3E7E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264</w:t>
            </w:r>
            <w:r w:rsidR="003E254A">
              <w:t xml:space="preserve"> </w:t>
            </w:r>
            <w:r>
              <w:t>560,9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</w:pPr>
            <w:r>
              <w:t>238</w:t>
            </w:r>
            <w:r w:rsidR="003E254A">
              <w:t xml:space="preserve"> </w:t>
            </w:r>
            <w:r>
              <w:t>269,5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</w:pPr>
            <w:r>
              <w:t>90,1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2 02 01000 00 0000 151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23</w:t>
            </w:r>
            <w:r w:rsidR="003E254A">
              <w:t xml:space="preserve"> </w:t>
            </w:r>
            <w:r>
              <w:t>798,5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</w:pPr>
            <w:r>
              <w:t>16</w:t>
            </w:r>
            <w:r w:rsidR="003E254A">
              <w:t xml:space="preserve"> </w:t>
            </w:r>
            <w:r>
              <w:t>794,8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</w:pPr>
            <w:r>
              <w:t>70,6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2 02 02000 00 0000 151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9</w:t>
            </w:r>
            <w:r w:rsidR="003E254A">
              <w:t xml:space="preserve"> </w:t>
            </w:r>
            <w:r>
              <w:t>704,5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</w:pPr>
            <w:r>
              <w:t>8</w:t>
            </w:r>
            <w:r w:rsidR="003E254A">
              <w:t xml:space="preserve"> </w:t>
            </w:r>
            <w:r>
              <w:t>209,0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</w:pPr>
            <w:r>
              <w:t>84,6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2 02 03000 00 0000 151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Субвенции бюджетам субъектов РФ и  муниципальных образований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230</w:t>
            </w:r>
            <w:r w:rsidR="003E254A">
              <w:t xml:space="preserve"> </w:t>
            </w:r>
            <w:r>
              <w:t>496,1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</w:pPr>
            <w:r>
              <w:t>213</w:t>
            </w:r>
            <w:r w:rsidR="003E254A">
              <w:t xml:space="preserve"> </w:t>
            </w:r>
            <w:r>
              <w:t>123,5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</w:pPr>
            <w:r>
              <w:t>92,5</w:t>
            </w:r>
          </w:p>
        </w:tc>
      </w:tr>
      <w:tr w:rsidR="00F31A86" w:rsidRPr="002B6BAD" w:rsidTr="00F670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Pr="00836EED" w:rsidRDefault="00F31A86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2 02 04000 00 0000 151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Pr="002B6BAD" w:rsidRDefault="00F31A86" w:rsidP="00B71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Default="00C55348" w:rsidP="00B71D03">
            <w:pPr>
              <w:spacing w:after="0" w:line="240" w:lineRule="auto"/>
              <w:jc w:val="center"/>
            </w:pPr>
            <w:r>
              <w:t>561,8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Default="00A74E7F" w:rsidP="00B71D03">
            <w:pPr>
              <w:spacing w:after="0" w:line="240" w:lineRule="auto"/>
              <w:jc w:val="center"/>
            </w:pPr>
            <w:r>
              <w:t>142,2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A86" w:rsidRDefault="00A74E7F" w:rsidP="00B71D03">
            <w:pPr>
              <w:spacing w:after="0" w:line="240" w:lineRule="auto"/>
              <w:jc w:val="center"/>
            </w:pPr>
            <w:r>
              <w:t>25,3</w:t>
            </w:r>
          </w:p>
        </w:tc>
      </w:tr>
      <w:tr w:rsidR="00F67020" w:rsidRPr="002B6BAD" w:rsidTr="00F670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2 07 00000 00 0000 000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C55348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A74E7F" w:rsidP="00B71D03">
            <w:pPr>
              <w:spacing w:after="0" w:line="240" w:lineRule="auto"/>
              <w:jc w:val="center"/>
            </w:pPr>
            <w:r>
              <w:t>646,9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020" w:rsidRDefault="00A74E7F" w:rsidP="00B71D0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F67020" w:rsidRPr="002B6BAD" w:rsidTr="00F670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2 18 00000 00 0000 000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F67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C55348" w:rsidP="00B71D03">
            <w:pPr>
              <w:spacing w:after="0" w:line="240" w:lineRule="auto"/>
              <w:jc w:val="center"/>
            </w:pPr>
            <w:r>
              <w:t>1</w:t>
            </w:r>
            <w:r w:rsidR="003E254A">
              <w:t xml:space="preserve"> </w:t>
            </w:r>
            <w:r>
              <w:t>685,5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A74E7F" w:rsidP="00B71D03">
            <w:pPr>
              <w:spacing w:after="0" w:line="240" w:lineRule="auto"/>
              <w:jc w:val="center"/>
            </w:pPr>
            <w:r>
              <w:t>1</w:t>
            </w:r>
            <w:r w:rsidR="003E254A">
              <w:t xml:space="preserve"> </w:t>
            </w:r>
            <w:r>
              <w:t>685,5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020" w:rsidRDefault="00A74E7F" w:rsidP="00B71D0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2 19 05000 05 0000 151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</w:pPr>
            <w:r>
              <w:t>-1</w:t>
            </w:r>
            <w:r w:rsidR="003E254A">
              <w:t xml:space="preserve"> </w:t>
            </w:r>
            <w:r>
              <w:t>884,2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</w:pPr>
            <w:r>
              <w:t>-1</w:t>
            </w:r>
            <w:r w:rsidR="003E254A">
              <w:t xml:space="preserve"> </w:t>
            </w:r>
            <w:r>
              <w:t>884,2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C5534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  <w:r w:rsidR="003E25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773,4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 w:rsidRPr="00081234">
              <w:rPr>
                <w:b/>
                <w:bCs/>
              </w:rPr>
              <w:t>348</w:t>
            </w:r>
            <w:r w:rsidR="003E254A" w:rsidRPr="00081234">
              <w:rPr>
                <w:b/>
                <w:bCs/>
              </w:rPr>
              <w:t xml:space="preserve"> </w:t>
            </w:r>
            <w:r w:rsidR="00081234" w:rsidRPr="00081234">
              <w:rPr>
                <w:b/>
                <w:bCs/>
              </w:rPr>
              <w:t>229,5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A74E7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84,8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9716B" w:rsidRPr="002B6BAD" w:rsidTr="00552CCE">
        <w:tc>
          <w:tcPr>
            <w:tcW w:w="11198" w:type="dxa"/>
            <w:gridSpan w:val="9"/>
            <w:shd w:val="clear" w:color="auto" w:fill="8DB3E2"/>
          </w:tcPr>
          <w:p w:rsidR="0039716B" w:rsidRPr="002B6BAD" w:rsidRDefault="0039716B" w:rsidP="005F1DF5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Структура исполнения доходов районного бюджета </w:t>
            </w:r>
            <w:r w:rsidR="005F1D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A74E7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01.10</w:t>
            </w:r>
            <w:r w:rsidR="005F1D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.2015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39716B" w:rsidRPr="002B6BAD" w:rsidTr="00552CCE">
        <w:tc>
          <w:tcPr>
            <w:tcW w:w="11198" w:type="dxa"/>
            <w:gridSpan w:val="9"/>
            <w:shd w:val="clear" w:color="auto" w:fill="FFFF66"/>
          </w:tcPr>
          <w:p w:rsidR="0039716B" w:rsidRPr="002B6BAD" w:rsidRDefault="0039716B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Доходы, всего</w:t>
            </w:r>
          </w:p>
        </w:tc>
      </w:tr>
    </w:tbl>
    <w:p w:rsidR="00273E23" w:rsidRPr="005F1DF5" w:rsidRDefault="00A74E7F" w:rsidP="00B71D03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7105650" cy="26193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8DB3E2"/>
          </w:tcPr>
          <w:p w:rsidR="00FC7F83" w:rsidRPr="002B6BAD" w:rsidRDefault="00FC7F83" w:rsidP="00B6561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Структура исполнения собственных доходов районного бюджета </w:t>
            </w:r>
            <w:r w:rsidR="005F1D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="005F1DF5"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A74E7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01.10</w:t>
            </w:r>
            <w:r w:rsidR="005F1D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.2015 </w:t>
            </w:r>
            <w:r w:rsidR="007401F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год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</w:tr>
    </w:tbl>
    <w:p w:rsidR="00273E23" w:rsidRPr="005F1DF5" w:rsidRDefault="00A74E7F" w:rsidP="00B71D03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7105650" cy="29813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Ритмичность поступления доходов в районный бюджет муниципального района 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«Забайкальский район»</w:t>
            </w:r>
          </w:p>
        </w:tc>
      </w:tr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Доходы, всего</w:t>
            </w:r>
          </w:p>
        </w:tc>
      </w:tr>
    </w:tbl>
    <w:p w:rsidR="00833178" w:rsidRDefault="00A74E7F" w:rsidP="00D536E6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7077075" cy="300037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1530"/>
        <w:gridCol w:w="1530"/>
        <w:gridCol w:w="1700"/>
        <w:gridCol w:w="1620"/>
        <w:gridCol w:w="1417"/>
      </w:tblGrid>
      <w:tr w:rsidR="00FC7F83" w:rsidRPr="002B6BAD" w:rsidTr="00552CCE">
        <w:trPr>
          <w:trHeight w:val="300"/>
        </w:trPr>
        <w:tc>
          <w:tcPr>
            <w:tcW w:w="11198" w:type="dxa"/>
            <w:gridSpan w:val="6"/>
            <w:vMerge w:val="restart"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районного бюджета муниципального района «Забайкальский район» (</w:t>
            </w:r>
            <w:proofErr w:type="spell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C7F83" w:rsidRPr="002B6BAD" w:rsidTr="00552CCE">
        <w:trPr>
          <w:trHeight w:val="300"/>
        </w:trPr>
        <w:tc>
          <w:tcPr>
            <w:tcW w:w="11198" w:type="dxa"/>
            <w:gridSpan w:val="6"/>
            <w:vMerge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552CCE">
        <w:trPr>
          <w:trHeight w:val="300"/>
        </w:trPr>
        <w:tc>
          <w:tcPr>
            <w:tcW w:w="3401" w:type="dxa"/>
            <w:vMerge w:val="restart"/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shd w:val="clear" w:color="auto" w:fill="FFFF66"/>
            <w:vAlign w:val="center"/>
          </w:tcPr>
          <w:p w:rsidR="00FC7F83" w:rsidRPr="003742BE" w:rsidRDefault="00C060EA" w:rsidP="0069631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696318">
              <w:rPr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0" w:type="dxa"/>
            <w:gridSpan w:val="3"/>
            <w:shd w:val="clear" w:color="auto" w:fill="FFFF66"/>
            <w:vAlign w:val="center"/>
          </w:tcPr>
          <w:p w:rsidR="00FC7F83" w:rsidRPr="002B6BAD" w:rsidRDefault="00FC7F83" w:rsidP="00622153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2B6BAD">
              <w:rPr>
                <w:i/>
                <w:iCs/>
                <w:color w:val="000000"/>
                <w:lang w:eastAsia="ru-RU"/>
              </w:rPr>
              <w:t>2</w:t>
            </w:r>
            <w:r w:rsidR="00223603">
              <w:rPr>
                <w:i/>
                <w:iCs/>
                <w:color w:val="000000"/>
                <w:lang w:eastAsia="ru-RU"/>
              </w:rPr>
              <w:t>01</w:t>
            </w:r>
            <w:r w:rsidR="00622153">
              <w:rPr>
                <w:i/>
                <w:iCs/>
                <w:color w:val="000000"/>
                <w:lang w:eastAsia="ru-RU"/>
              </w:rPr>
              <w:t>5</w:t>
            </w:r>
            <w:r w:rsidRPr="002B6BAD">
              <w:rPr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FFFF66"/>
            <w:vAlign w:val="center"/>
          </w:tcPr>
          <w:p w:rsidR="00FC7F83" w:rsidRPr="002B6BAD" w:rsidRDefault="006E5525" w:rsidP="006221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622153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622153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552CCE">
        <w:trPr>
          <w:trHeight w:val="510"/>
        </w:trPr>
        <w:tc>
          <w:tcPr>
            <w:tcW w:w="3401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700" w:type="dxa"/>
            <w:shd w:val="clear" w:color="auto" w:fill="FFFF66"/>
            <w:vAlign w:val="center"/>
          </w:tcPr>
          <w:p w:rsidR="00C15B78" w:rsidRDefault="00FC7F83" w:rsidP="00C15B7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Исполнено на </w:t>
            </w:r>
          </w:p>
          <w:p w:rsidR="00FC7F83" w:rsidRPr="003742BE" w:rsidRDefault="00FC7F83" w:rsidP="0069631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01.</w:t>
            </w:r>
            <w:r w:rsidR="00696318">
              <w:rPr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15B78" w:rsidRDefault="00696318" w:rsidP="00C15B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42 631,6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68 466,9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50 793,7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8 162,1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1 058,6</w:t>
            </w:r>
          </w:p>
        </w:tc>
        <w:tc>
          <w:tcPr>
            <w:tcW w:w="1530" w:type="dxa"/>
            <w:vAlign w:val="bottom"/>
          </w:tcPr>
          <w:p w:rsidR="006940D2" w:rsidRDefault="00696318" w:rsidP="006221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1 272,3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906,0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-152,6</w:t>
            </w:r>
          </w:p>
        </w:tc>
      </w:tr>
      <w:tr w:rsidR="006940D2" w:rsidRPr="002B6BAD" w:rsidTr="006940D2">
        <w:trPr>
          <w:trHeight w:val="432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514,8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284,8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7 214,9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1 688,7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1 677,9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2 649,2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10 115,5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7 100,7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4 451,5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216 432,8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295 147,3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248 699,9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32 267,1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2 277,8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1 421,7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1 128,6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12 438,9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19 478,7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12 405,9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457,8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169,5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127A1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807,4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-570,1</w:t>
            </w:r>
          </w:p>
        </w:tc>
      </w:tr>
      <w:tr w:rsidR="006940D2" w:rsidRPr="002B6BAD" w:rsidTr="006940D2">
        <w:trPr>
          <w:trHeight w:val="225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9 465,6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12 975,4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10 990,3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1 524,7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286 179,6</w:t>
            </w:r>
          </w:p>
        </w:tc>
        <w:tc>
          <w:tcPr>
            <w:tcW w:w="153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418 681,3</w:t>
            </w:r>
          </w:p>
        </w:tc>
        <w:tc>
          <w:tcPr>
            <w:tcW w:w="1700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335 242,1</w:t>
            </w:r>
          </w:p>
        </w:tc>
        <w:tc>
          <w:tcPr>
            <w:tcW w:w="1620" w:type="dxa"/>
            <w:noWrap/>
            <w:vAlign w:val="bottom"/>
          </w:tcPr>
          <w:p w:rsidR="006940D2" w:rsidRDefault="00696318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417" w:type="dxa"/>
            <w:vAlign w:val="bottom"/>
          </w:tcPr>
          <w:p w:rsidR="006940D2" w:rsidRDefault="00696318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49 062,5</w:t>
            </w:r>
          </w:p>
        </w:tc>
      </w:tr>
      <w:tr w:rsidR="00FC7F83" w:rsidRPr="002B6BAD" w:rsidTr="00552CCE">
        <w:trPr>
          <w:trHeight w:val="270"/>
        </w:trPr>
        <w:tc>
          <w:tcPr>
            <w:tcW w:w="11198" w:type="dxa"/>
            <w:gridSpan w:val="6"/>
            <w:shd w:val="clear" w:color="auto" w:fill="8DB3E2"/>
            <w:vAlign w:val="center"/>
          </w:tcPr>
          <w:p w:rsidR="00FC7F83" w:rsidRPr="002341DB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  <w:p w:rsidR="00FC7F83" w:rsidRPr="00B04FDE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районного бюджета муниципального района «Забайкальский район»</w:t>
            </w:r>
          </w:p>
          <w:p w:rsidR="00FC7F83" w:rsidRPr="00B04FDE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C7F83" w:rsidRPr="002B6BAD" w:rsidTr="00552CCE">
        <w:trPr>
          <w:trHeight w:val="259"/>
        </w:trPr>
        <w:tc>
          <w:tcPr>
            <w:tcW w:w="11198" w:type="dxa"/>
            <w:gridSpan w:val="6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Структура расходов </w:t>
            </w:r>
          </w:p>
        </w:tc>
      </w:tr>
    </w:tbl>
    <w:p w:rsidR="00FC7F83" w:rsidRDefault="00696318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77075" cy="5229225"/>
            <wp:effectExtent l="0" t="0" r="285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00C58" w:rsidRDefault="00200C58" w:rsidP="00B71D03">
      <w:pPr>
        <w:spacing w:line="240" w:lineRule="auto"/>
        <w:rPr>
          <w:lang w:val="en-US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"/>
        <w:gridCol w:w="709"/>
        <w:gridCol w:w="567"/>
        <w:gridCol w:w="141"/>
        <w:gridCol w:w="710"/>
        <w:gridCol w:w="757"/>
        <w:gridCol w:w="660"/>
        <w:gridCol w:w="709"/>
        <w:gridCol w:w="1096"/>
        <w:gridCol w:w="133"/>
        <w:gridCol w:w="1322"/>
      </w:tblGrid>
      <w:tr w:rsidR="00FC7F83" w:rsidRPr="002B6BAD" w:rsidTr="00552CCE">
        <w:trPr>
          <w:trHeight w:val="349"/>
        </w:trPr>
        <w:tc>
          <w:tcPr>
            <w:tcW w:w="11198" w:type="dxa"/>
            <w:gridSpan w:val="12"/>
            <w:shd w:val="clear" w:color="auto" w:fill="8DB3E2"/>
          </w:tcPr>
          <w:p w:rsidR="00FC7F83" w:rsidRPr="00127E13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  <w:p w:rsidR="00FC7F83" w:rsidRPr="00D74DD1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Поступление доходов в бюджеты поселений (</w:t>
            </w:r>
            <w:proofErr w:type="spellStart"/>
            <w:r w:rsidRPr="002B6BAD"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2B6BAD"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sz w:val="24"/>
                <w:szCs w:val="24"/>
              </w:rPr>
              <w:t>уб</w:t>
            </w:r>
            <w:proofErr w:type="spellEnd"/>
            <w:r w:rsidRPr="002B6BAD">
              <w:rPr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FC7F83" w:rsidRPr="00D74DD1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FC7F83" w:rsidRPr="002B6BAD" w:rsidTr="00552CCE">
        <w:trPr>
          <w:trHeight w:val="912"/>
        </w:trPr>
        <w:tc>
          <w:tcPr>
            <w:tcW w:w="4394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417" w:type="dxa"/>
            <w:gridSpan w:val="3"/>
            <w:shd w:val="clear" w:color="auto" w:fill="FFFF66"/>
          </w:tcPr>
          <w:p w:rsidR="00FC7F83" w:rsidRPr="002B6BAD" w:rsidRDefault="00FC7F83" w:rsidP="0054764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Исполнено на 01.</w:t>
            </w:r>
            <w:r w:rsidR="00A74E7F">
              <w:rPr>
                <w:i/>
                <w:iCs/>
                <w:sz w:val="20"/>
                <w:szCs w:val="20"/>
              </w:rPr>
              <w:t>10</w:t>
            </w:r>
            <w:r w:rsidR="00547643">
              <w:rPr>
                <w:i/>
                <w:iCs/>
                <w:sz w:val="20"/>
                <w:szCs w:val="20"/>
              </w:rPr>
              <w:t>.</w:t>
            </w:r>
            <w:r w:rsidRPr="002B6BAD">
              <w:rPr>
                <w:i/>
                <w:iCs/>
                <w:sz w:val="20"/>
                <w:szCs w:val="20"/>
              </w:rPr>
              <w:t>201</w:t>
            </w:r>
            <w:r w:rsidR="0054764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67" w:type="dxa"/>
            <w:gridSpan w:val="2"/>
            <w:shd w:val="clear" w:color="auto" w:fill="FFFF66"/>
          </w:tcPr>
          <w:p w:rsidR="00FC7F83" w:rsidRPr="00836EED" w:rsidRDefault="00FC7F83" w:rsidP="00DA0F48">
            <w:pPr>
              <w:pStyle w:val="4"/>
              <w:ind w:left="-86" w:right="-108" w:firstLine="0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547643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836EED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gridSpan w:val="2"/>
            <w:shd w:val="clear" w:color="auto" w:fill="FFFF66"/>
          </w:tcPr>
          <w:p w:rsidR="00FC7F83" w:rsidRPr="002B6BAD" w:rsidRDefault="00A74E7F" w:rsidP="00DC355D">
            <w:pPr>
              <w:spacing w:after="0" w:line="240" w:lineRule="auto"/>
              <w:ind w:left="-69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Фактически поступило на 01.10</w:t>
            </w:r>
            <w:r w:rsidR="00FC7F83" w:rsidRPr="002B6BAD">
              <w:rPr>
                <w:i/>
                <w:iCs/>
                <w:sz w:val="20"/>
                <w:szCs w:val="20"/>
              </w:rPr>
              <w:t>.201</w:t>
            </w:r>
            <w:r w:rsidR="00B6561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322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 xml:space="preserve">% </w:t>
            </w:r>
          </w:p>
          <w:p w:rsidR="00FC7F83" w:rsidRPr="002B6BAD" w:rsidRDefault="00FC7F83" w:rsidP="00DA0F48">
            <w:pPr>
              <w:spacing w:after="0" w:line="240" w:lineRule="auto"/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исполнения 201</w:t>
            </w:r>
            <w:r w:rsidR="00547643">
              <w:rPr>
                <w:i/>
                <w:iCs/>
                <w:sz w:val="20"/>
                <w:szCs w:val="20"/>
              </w:rPr>
              <w:t>5</w:t>
            </w:r>
            <w:r w:rsidR="00B002F7">
              <w:rPr>
                <w:i/>
                <w:iCs/>
                <w:sz w:val="20"/>
                <w:szCs w:val="20"/>
              </w:rPr>
              <w:t xml:space="preserve"> к 201</w:t>
            </w:r>
            <w:r w:rsidR="00547643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836EED" w:rsidRDefault="00CC187C" w:rsidP="00B95899">
            <w:pPr>
              <w:pStyle w:val="1"/>
              <w:rPr>
                <w:rFonts w:ascii="Calibri" w:hAnsi="Calibri" w:cs="Calibri"/>
              </w:rPr>
            </w:pPr>
            <w:r w:rsidRPr="00836EED">
              <w:rPr>
                <w:rFonts w:ascii="Calibri" w:hAnsi="Calibri" w:cs="Calibri"/>
              </w:rPr>
              <w:t xml:space="preserve">Налоговые и неналоговые доходы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A74E7F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6963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386,5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A74E7F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6963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130,9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A74E7F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696318">
              <w:rPr>
                <w:b/>
                <w:bCs/>
              </w:rPr>
              <w:t xml:space="preserve"> </w:t>
            </w:r>
            <w:r w:rsidR="00025359">
              <w:rPr>
                <w:b/>
                <w:bCs/>
              </w:rPr>
              <w:t>55</w:t>
            </w:r>
            <w:r w:rsidR="00086F18">
              <w:rPr>
                <w:b/>
                <w:bCs/>
              </w:rPr>
              <w:t>3,1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221097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F535C2" w:rsidRDefault="00A74E7F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74,0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 на доходы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32</w:t>
            </w:r>
            <w:r w:rsidR="00696318">
              <w:t xml:space="preserve"> </w:t>
            </w:r>
            <w:r>
              <w:t>900,5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30</w:t>
            </w:r>
            <w:r w:rsidR="00696318">
              <w:t xml:space="preserve"> </w:t>
            </w:r>
            <w:r>
              <w:t>494,5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20</w:t>
            </w:r>
            <w:r w:rsidR="00696318">
              <w:t xml:space="preserve"> </w:t>
            </w:r>
            <w:r>
              <w:t>573,2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67,5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A74E7F" w:rsidP="00605BCB">
            <w:pPr>
              <w:jc w:val="center"/>
            </w:pPr>
            <w:r>
              <w:t>62,5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Акцизы по подакцизным товарам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2</w:t>
            </w:r>
            <w:r w:rsidR="00696318">
              <w:t xml:space="preserve"> </w:t>
            </w:r>
            <w:r>
              <w:t>234,8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A74E7F" w:rsidP="00605BCB">
            <w:pPr>
              <w:jc w:val="center"/>
            </w:pPr>
            <w:r>
              <w:t>2</w:t>
            </w:r>
            <w:r w:rsidR="00696318">
              <w:t xml:space="preserve"> </w:t>
            </w:r>
            <w:r>
              <w:t>826,0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A74E7F" w:rsidP="00605BCB">
            <w:pPr>
              <w:jc w:val="center"/>
            </w:pPr>
            <w:r>
              <w:t>1</w:t>
            </w:r>
            <w:r w:rsidR="00696318">
              <w:t xml:space="preserve"> </w:t>
            </w:r>
            <w:r w:rsidR="00086F18">
              <w:t>755,2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62,1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A74E7F" w:rsidP="00605BCB">
            <w:pPr>
              <w:jc w:val="center"/>
            </w:pPr>
            <w:r>
              <w:t>78,5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Налоги на совокупный доход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20,3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35,1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44,5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126,8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A74E7F" w:rsidP="00605BCB">
            <w:pPr>
              <w:jc w:val="center"/>
            </w:pPr>
            <w:r>
              <w:t xml:space="preserve">в 2,2 </w:t>
            </w:r>
            <w:proofErr w:type="gramStart"/>
            <w:r>
              <w:t>р</w:t>
            </w:r>
            <w:proofErr w:type="gramEnd"/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 на имущество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59738C">
            <w:pPr>
              <w:jc w:val="center"/>
            </w:pPr>
            <w:r>
              <w:t>589,5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1</w:t>
            </w:r>
            <w:r w:rsidR="00696318">
              <w:t xml:space="preserve"> </w:t>
            </w:r>
            <w:r>
              <w:t>343,8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986,8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A74E7F" w:rsidP="00605BCB">
            <w:pPr>
              <w:jc w:val="center"/>
            </w:pPr>
            <w:r>
              <w:t>73,4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A74E7F" w:rsidP="00605BCB">
            <w:pPr>
              <w:jc w:val="center"/>
            </w:pPr>
            <w:r>
              <w:t>167,4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Земельный налог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9</w:t>
            </w:r>
            <w:r w:rsidR="00696318">
              <w:t xml:space="preserve"> </w:t>
            </w:r>
            <w:r>
              <w:t>601,6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13</w:t>
            </w:r>
            <w:r w:rsidR="00696318">
              <w:t xml:space="preserve"> </w:t>
            </w:r>
            <w:r>
              <w:t>573,7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11</w:t>
            </w:r>
            <w:r w:rsidR="00696318">
              <w:t xml:space="preserve"> </w:t>
            </w:r>
            <w:r>
              <w:t>741,8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86,5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7E3457" w:rsidP="00605BCB">
            <w:pPr>
              <w:jc w:val="center"/>
            </w:pPr>
            <w:r>
              <w:t>122,3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D0C37" w:rsidRDefault="00CC187C" w:rsidP="00B95899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2D0C37">
              <w:rPr>
                <w:rFonts w:ascii="Calibri" w:hAnsi="Calibri" w:cs="Calibri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48,3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46,0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34,6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75,2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7E3457" w:rsidP="00605BCB">
            <w:pPr>
              <w:jc w:val="center"/>
            </w:pPr>
            <w:r>
              <w:t>71,6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D0C37" w:rsidRDefault="00CC187C" w:rsidP="00B95899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Задолженность по отмененным налогам и сборам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7E3457" w:rsidP="00605BCB">
            <w:pPr>
              <w:jc w:val="center"/>
            </w:pPr>
            <w:r>
              <w:t>-28,0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7E3457" w:rsidP="00605BCB">
            <w:pPr>
              <w:jc w:val="center"/>
            </w:pPr>
            <w:r>
              <w:t>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7E3457" w:rsidP="00605BCB">
            <w:pPr>
              <w:jc w:val="center"/>
            </w:pPr>
            <w:r>
              <w:t>0,0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7E3457" w:rsidP="00605BCB">
            <w:pPr>
              <w:jc w:val="center"/>
            </w:pPr>
            <w:r>
              <w:t>0,0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2B6BAD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21</w:t>
            </w:r>
            <w:r w:rsidR="00696318">
              <w:t xml:space="preserve"> </w:t>
            </w:r>
            <w:r>
              <w:t>568,4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16</w:t>
            </w:r>
            <w:r w:rsidR="00696318">
              <w:t xml:space="preserve"> </w:t>
            </w:r>
            <w:r>
              <w:t>299,6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15</w:t>
            </w:r>
            <w:r w:rsidR="00696318">
              <w:t xml:space="preserve"> </w:t>
            </w:r>
            <w:r>
              <w:t>551,8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95,4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7E3457" w:rsidP="00605BCB">
            <w:pPr>
              <w:jc w:val="center"/>
            </w:pPr>
            <w:r>
              <w:t>72,1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7E3457" w:rsidP="00605BCB">
            <w:pPr>
              <w:jc w:val="center"/>
            </w:pPr>
            <w:r>
              <w:t>28,3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7E3457" w:rsidP="00605BCB">
            <w:pPr>
              <w:jc w:val="center"/>
            </w:pPr>
            <w:r>
              <w:t>8,0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73,0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 xml:space="preserve">в 9,1 </w:t>
            </w:r>
            <w:proofErr w:type="gramStart"/>
            <w:r>
              <w:t>р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7E3457" w:rsidP="00605BCB">
            <w:pPr>
              <w:jc w:val="center"/>
            </w:pPr>
            <w:r>
              <w:t xml:space="preserve">в 2,6 </w:t>
            </w:r>
            <w:proofErr w:type="gramStart"/>
            <w:r>
              <w:t>р</w:t>
            </w:r>
            <w:proofErr w:type="gramEnd"/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4</w:t>
            </w:r>
            <w:r w:rsidR="00696318">
              <w:t xml:space="preserve"> </w:t>
            </w:r>
            <w:r>
              <w:t>650,4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1</w:t>
            </w:r>
            <w:r w:rsidR="00696318">
              <w:t xml:space="preserve"> </w:t>
            </w:r>
            <w:r>
              <w:t>670,0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1</w:t>
            </w:r>
            <w:r w:rsidR="00696318">
              <w:t xml:space="preserve"> </w:t>
            </w:r>
            <w:r w:rsidR="00025359">
              <w:t>199</w:t>
            </w:r>
            <w:r>
              <w:t>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221097">
            <w:pPr>
              <w:jc w:val="center"/>
            </w:pPr>
            <w:r>
              <w:t>71,</w:t>
            </w:r>
            <w:r w:rsidR="00221097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7E3457" w:rsidP="00605BCB">
            <w:pPr>
              <w:jc w:val="center"/>
            </w:pPr>
            <w:r>
              <w:t>25,8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2B6BAD">
              <w:t xml:space="preserve">Штрафы, санкции, возмещение ущерба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636,7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91,2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26,1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</w:pPr>
            <w:r>
              <w:t>28,6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7E3457" w:rsidP="00605BCB">
            <w:pPr>
              <w:jc w:val="center"/>
            </w:pPr>
            <w:r>
              <w:t>4,1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Прочие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135,7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865DE">
              <w:rPr>
                <w:bCs/>
              </w:rPr>
              <w:t xml:space="preserve"> </w:t>
            </w:r>
            <w:r>
              <w:rPr>
                <w:bCs/>
              </w:rPr>
              <w:t>739,0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566,6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7E3457" w:rsidP="00605BC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90,1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7E3457" w:rsidP="00605BC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в 11,5 </w:t>
            </w:r>
            <w:proofErr w:type="gramStart"/>
            <w:r>
              <w:rPr>
                <w:bCs/>
              </w:rPr>
              <w:t>р</w:t>
            </w:r>
            <w:proofErr w:type="gramEnd"/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7E3457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963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644,9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7E3457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96318">
              <w:rPr>
                <w:b/>
                <w:bCs/>
              </w:rPr>
              <w:t xml:space="preserve"> </w:t>
            </w:r>
            <w:r w:rsidR="00086F18">
              <w:rPr>
                <w:b/>
                <w:bCs/>
              </w:rPr>
              <w:t>435,6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7E3457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963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137,2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7E3457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7E3457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159,2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Безвозмездные поступления от других бюджетов бюджетной системы, 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642,1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121,0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822,7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70,1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172,6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 xml:space="preserve">Дотации бюджетам </w:t>
            </w:r>
            <w:r>
              <w:t>поселений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465,6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975,4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990,3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84,7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116,1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117,0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283,6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245,5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98,8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153,3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 xml:space="preserve">Субвенции бюджетам субъектов РФ и  муниципальных образований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059,5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6318">
              <w:rPr>
                <w:bCs/>
              </w:rPr>
              <w:t xml:space="preserve"> </w:t>
            </w:r>
            <w:r w:rsidR="00086F18">
              <w:rPr>
                <w:bCs/>
              </w:rPr>
              <w:t>274,4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907,5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71,2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85,6</w:t>
            </w:r>
          </w:p>
        </w:tc>
      </w:tr>
      <w:tr w:rsidR="00B04CC1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1" w:rsidRPr="002B6BAD" w:rsidRDefault="00B04CC1" w:rsidP="00B95899">
            <w:pPr>
              <w:spacing w:after="0" w:line="240" w:lineRule="auto"/>
            </w:pPr>
            <w: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1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1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587,7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1" w:rsidRDefault="00696318" w:rsidP="00605B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7E3457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="007E3457">
              <w:rPr>
                <w:bCs/>
              </w:rPr>
              <w:t>679,4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1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49,1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CC1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C187C" w:rsidRPr="002B6BAD" w:rsidTr="00280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Прочие безвозмездные поступления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A7145F">
            <w:pPr>
              <w:spacing w:after="0" w:line="240" w:lineRule="auto"/>
            </w:pPr>
            <w:r w:rsidRPr="002B6BAD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7145F">
              <w:t>поселений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-0,1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685,5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696318">
              <w:rPr>
                <w:bCs/>
              </w:rPr>
              <w:t xml:space="preserve"> </w:t>
            </w:r>
            <w:r>
              <w:rPr>
                <w:bCs/>
              </w:rPr>
              <w:t>685,5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7E3457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C187C" w:rsidRPr="002B6BAD" w:rsidTr="00C64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836EED" w:rsidRDefault="00CC187C" w:rsidP="000A632A">
            <w:pPr>
              <w:pStyle w:val="a5"/>
              <w:tabs>
                <w:tab w:val="clear" w:pos="4677"/>
                <w:tab w:val="clear" w:pos="9355"/>
                <w:tab w:val="left" w:pos="708"/>
                <w:tab w:val="right" w:pos="4178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523C1F" w:rsidRDefault="007E3457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6963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031,4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7E3457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696318">
              <w:rPr>
                <w:b/>
                <w:bCs/>
              </w:rPr>
              <w:t xml:space="preserve"> </w:t>
            </w:r>
            <w:r w:rsidR="00086F18">
              <w:rPr>
                <w:b/>
                <w:bCs/>
              </w:rPr>
              <w:t>566,5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7E3457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696318">
              <w:rPr>
                <w:b/>
                <w:bCs/>
              </w:rPr>
              <w:t xml:space="preserve"> </w:t>
            </w:r>
            <w:r w:rsidR="00086F18">
              <w:rPr>
                <w:b/>
                <w:bCs/>
              </w:rPr>
              <w:t>690,3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7E3457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7E3457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86,7</w:t>
            </w:r>
          </w:p>
        </w:tc>
      </w:tr>
      <w:tr w:rsidR="0042141F" w:rsidRPr="002B6BAD" w:rsidTr="00C642BC">
        <w:tblPrEx>
          <w:tblLook w:val="00A0" w:firstRow="1" w:lastRow="0" w:firstColumn="1" w:lastColumn="0" w:noHBand="0" w:noVBand="0"/>
        </w:tblPrEx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7401F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7401F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6940D2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127A18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Pr="002B6BAD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266F39">
        <w:tblPrEx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F39" w:rsidRPr="00B9795A" w:rsidRDefault="00266F39" w:rsidP="00226FD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Pr="00B9795A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C642BC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городского и сельских поселений (</w:t>
            </w:r>
            <w:proofErr w:type="spell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86" w:type="dxa"/>
            <w:vMerge w:val="restart"/>
            <w:shd w:val="clear" w:color="auto" w:fill="FFFF66"/>
            <w:vAlign w:val="bottom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shd w:val="clear" w:color="auto" w:fill="FFFF66"/>
            <w:vAlign w:val="center"/>
          </w:tcPr>
          <w:p w:rsidR="0042141F" w:rsidRPr="00FC45A1" w:rsidRDefault="0042141F" w:rsidP="0069631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696318">
              <w:rPr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0" w:type="dxa"/>
            <w:gridSpan w:val="7"/>
            <w:shd w:val="clear" w:color="auto" w:fill="FFFF66"/>
            <w:vAlign w:val="center"/>
          </w:tcPr>
          <w:p w:rsidR="0042141F" w:rsidRPr="002B6BAD" w:rsidRDefault="0042141F" w:rsidP="00944196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2B6BAD">
              <w:rPr>
                <w:i/>
                <w:iCs/>
                <w:color w:val="000000"/>
                <w:lang w:eastAsia="ru-RU"/>
              </w:rPr>
              <w:t>201</w:t>
            </w:r>
            <w:r w:rsidR="00944196">
              <w:rPr>
                <w:i/>
                <w:iCs/>
                <w:color w:val="000000"/>
                <w:lang w:eastAsia="ru-RU"/>
              </w:rPr>
              <w:t>5</w:t>
            </w:r>
            <w:r w:rsidRPr="002B6BAD">
              <w:rPr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55" w:type="dxa"/>
            <w:gridSpan w:val="2"/>
            <w:vMerge w:val="restart"/>
            <w:shd w:val="clear" w:color="auto" w:fill="FFFF66"/>
            <w:vAlign w:val="center"/>
          </w:tcPr>
          <w:p w:rsidR="0042141F" w:rsidRPr="002B6BAD" w:rsidRDefault="0042141F" w:rsidP="00944196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944196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944196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3686" w:type="dxa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417" w:type="dxa"/>
            <w:gridSpan w:val="2"/>
            <w:shd w:val="clear" w:color="auto" w:fill="FFFF66"/>
            <w:vAlign w:val="center"/>
          </w:tcPr>
          <w:p w:rsidR="0042141F" w:rsidRPr="00FC45A1" w:rsidRDefault="0042141F" w:rsidP="0069631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696318">
              <w:rPr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5" w:type="dxa"/>
            <w:gridSpan w:val="2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55" w:type="dxa"/>
            <w:gridSpan w:val="2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96318" w:rsidP="00234C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34 851,0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42 631,0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31 049,0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-3 802,0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0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963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913,6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1 272,3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904,5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-9,1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963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1 322,7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530,2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303,1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-1 019,6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963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1 160,5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7 096,8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2 291,4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1 130,9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49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963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31 071,7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30 248,3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23 867,3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-7 204,4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963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963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14 351,9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17 067,6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10 609,3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-3 742,6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963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537,4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-271,4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963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3 822,4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4 315,6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4 149,8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327,4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3686" w:type="dxa"/>
            <w:vAlign w:val="bottom"/>
          </w:tcPr>
          <w:p w:rsidR="0042141F" w:rsidRDefault="0042141F" w:rsidP="00234C3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963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223,5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313,4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-177,6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88 108,0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286531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104 012,6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73 339,6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286531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286531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-14 768,4</w:t>
            </w: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vMerge w:val="restart"/>
            <w:shd w:val="clear" w:color="auto" w:fill="8DB3E2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городского и сельских поселений (</w:t>
            </w:r>
            <w:proofErr w:type="spell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1198" w:type="dxa"/>
            <w:gridSpan w:val="12"/>
            <w:vMerge/>
            <w:shd w:val="clear" w:color="auto" w:fill="8DB3E2"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Структура расходов </w:t>
            </w:r>
          </w:p>
        </w:tc>
      </w:tr>
    </w:tbl>
    <w:p w:rsidR="00FC7F83" w:rsidRDefault="00286531" w:rsidP="00B71D03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7143750" cy="46291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3A" w:rsidRDefault="00152C3A" w:rsidP="0053004B">
      <w:pPr>
        <w:spacing w:after="0" w:line="240" w:lineRule="auto"/>
      </w:pPr>
      <w:r>
        <w:separator/>
      </w:r>
    </w:p>
  </w:endnote>
  <w:endnote w:type="continuationSeparator" w:id="0">
    <w:p w:rsidR="00152C3A" w:rsidRDefault="00152C3A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3A" w:rsidRDefault="00152C3A" w:rsidP="0053004B">
      <w:pPr>
        <w:spacing w:after="0" w:line="240" w:lineRule="auto"/>
      </w:pPr>
      <w:r>
        <w:separator/>
      </w:r>
    </w:p>
  </w:footnote>
  <w:footnote w:type="continuationSeparator" w:id="0">
    <w:p w:rsidR="00152C3A" w:rsidRDefault="00152C3A" w:rsidP="0053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5"/>
    <w:rsid w:val="00001877"/>
    <w:rsid w:val="00005F2E"/>
    <w:rsid w:val="00007158"/>
    <w:rsid w:val="000109BF"/>
    <w:rsid w:val="00013552"/>
    <w:rsid w:val="00025359"/>
    <w:rsid w:val="00036D2B"/>
    <w:rsid w:val="000473A0"/>
    <w:rsid w:val="00050FB7"/>
    <w:rsid w:val="0005174A"/>
    <w:rsid w:val="000604A7"/>
    <w:rsid w:val="00061BD6"/>
    <w:rsid w:val="000621E9"/>
    <w:rsid w:val="00063BA6"/>
    <w:rsid w:val="00073091"/>
    <w:rsid w:val="00080B49"/>
    <w:rsid w:val="00081234"/>
    <w:rsid w:val="00086F18"/>
    <w:rsid w:val="00087B2B"/>
    <w:rsid w:val="000915CB"/>
    <w:rsid w:val="00092ACD"/>
    <w:rsid w:val="000A0600"/>
    <w:rsid w:val="000A2339"/>
    <w:rsid w:val="000A3748"/>
    <w:rsid w:val="000A632A"/>
    <w:rsid w:val="000B3E76"/>
    <w:rsid w:val="000B3FF4"/>
    <w:rsid w:val="000B631B"/>
    <w:rsid w:val="000C0697"/>
    <w:rsid w:val="000C4D19"/>
    <w:rsid w:val="000D2182"/>
    <w:rsid w:val="000D3293"/>
    <w:rsid w:val="000D3F1D"/>
    <w:rsid w:val="000E0B75"/>
    <w:rsid w:val="000E201F"/>
    <w:rsid w:val="000E5328"/>
    <w:rsid w:val="000E5CB4"/>
    <w:rsid w:val="000F4CFF"/>
    <w:rsid w:val="000F5038"/>
    <w:rsid w:val="000F7ED9"/>
    <w:rsid w:val="00102E8B"/>
    <w:rsid w:val="00112121"/>
    <w:rsid w:val="00112E81"/>
    <w:rsid w:val="00126CF8"/>
    <w:rsid w:val="00127A18"/>
    <w:rsid w:val="00127E13"/>
    <w:rsid w:val="0013359A"/>
    <w:rsid w:val="001418E7"/>
    <w:rsid w:val="00146575"/>
    <w:rsid w:val="001510FB"/>
    <w:rsid w:val="00152C3A"/>
    <w:rsid w:val="00152FD8"/>
    <w:rsid w:val="00155CF7"/>
    <w:rsid w:val="001579F3"/>
    <w:rsid w:val="0016165C"/>
    <w:rsid w:val="0016324B"/>
    <w:rsid w:val="00170FA3"/>
    <w:rsid w:val="001721E3"/>
    <w:rsid w:val="00174684"/>
    <w:rsid w:val="00182E0E"/>
    <w:rsid w:val="001865DE"/>
    <w:rsid w:val="00192E7E"/>
    <w:rsid w:val="00193AED"/>
    <w:rsid w:val="001B2FB8"/>
    <w:rsid w:val="001C2E58"/>
    <w:rsid w:val="001C682F"/>
    <w:rsid w:val="001D3004"/>
    <w:rsid w:val="001D36C7"/>
    <w:rsid w:val="001E129E"/>
    <w:rsid w:val="001E3EC3"/>
    <w:rsid w:val="001E7E7A"/>
    <w:rsid w:val="00200C58"/>
    <w:rsid w:val="00204418"/>
    <w:rsid w:val="00212341"/>
    <w:rsid w:val="00214AF5"/>
    <w:rsid w:val="00221097"/>
    <w:rsid w:val="00223603"/>
    <w:rsid w:val="00224CAC"/>
    <w:rsid w:val="00225A25"/>
    <w:rsid w:val="0022657A"/>
    <w:rsid w:val="00226FD1"/>
    <w:rsid w:val="002341DB"/>
    <w:rsid w:val="00234301"/>
    <w:rsid w:val="00234C3C"/>
    <w:rsid w:val="002373E5"/>
    <w:rsid w:val="00241FA7"/>
    <w:rsid w:val="002507DD"/>
    <w:rsid w:val="00250F51"/>
    <w:rsid w:val="00263DAA"/>
    <w:rsid w:val="00266F39"/>
    <w:rsid w:val="00270961"/>
    <w:rsid w:val="00270E1E"/>
    <w:rsid w:val="00273195"/>
    <w:rsid w:val="00273E23"/>
    <w:rsid w:val="00274B5A"/>
    <w:rsid w:val="0027552F"/>
    <w:rsid w:val="00277BD5"/>
    <w:rsid w:val="00280B0A"/>
    <w:rsid w:val="0028540E"/>
    <w:rsid w:val="00286531"/>
    <w:rsid w:val="00287C91"/>
    <w:rsid w:val="002A1F2F"/>
    <w:rsid w:val="002A335E"/>
    <w:rsid w:val="002A7FCA"/>
    <w:rsid w:val="002B100F"/>
    <w:rsid w:val="002B1613"/>
    <w:rsid w:val="002B2F42"/>
    <w:rsid w:val="002B3C5A"/>
    <w:rsid w:val="002B4462"/>
    <w:rsid w:val="002B6BAD"/>
    <w:rsid w:val="002C0A6F"/>
    <w:rsid w:val="002C69EC"/>
    <w:rsid w:val="002C78D7"/>
    <w:rsid w:val="002D01C3"/>
    <w:rsid w:val="002D0C37"/>
    <w:rsid w:val="002D7F4F"/>
    <w:rsid w:val="002E0F6E"/>
    <w:rsid w:val="002F2A73"/>
    <w:rsid w:val="002F3FBC"/>
    <w:rsid w:val="002F5985"/>
    <w:rsid w:val="002F73B6"/>
    <w:rsid w:val="002F7E2C"/>
    <w:rsid w:val="003044D6"/>
    <w:rsid w:val="00314112"/>
    <w:rsid w:val="0032644C"/>
    <w:rsid w:val="00326623"/>
    <w:rsid w:val="00331F7B"/>
    <w:rsid w:val="00334461"/>
    <w:rsid w:val="0033555A"/>
    <w:rsid w:val="003360DE"/>
    <w:rsid w:val="00340FB2"/>
    <w:rsid w:val="00343A12"/>
    <w:rsid w:val="00352F09"/>
    <w:rsid w:val="003534C6"/>
    <w:rsid w:val="00357935"/>
    <w:rsid w:val="00360093"/>
    <w:rsid w:val="00365FC1"/>
    <w:rsid w:val="003702C5"/>
    <w:rsid w:val="0037374E"/>
    <w:rsid w:val="003742BE"/>
    <w:rsid w:val="00383FE4"/>
    <w:rsid w:val="003876A7"/>
    <w:rsid w:val="0039716B"/>
    <w:rsid w:val="003A27C9"/>
    <w:rsid w:val="003A5030"/>
    <w:rsid w:val="003A5BB4"/>
    <w:rsid w:val="003A5D8E"/>
    <w:rsid w:val="003B2684"/>
    <w:rsid w:val="003B36BC"/>
    <w:rsid w:val="003B435F"/>
    <w:rsid w:val="003B78B3"/>
    <w:rsid w:val="003D4CA3"/>
    <w:rsid w:val="003D7317"/>
    <w:rsid w:val="003E05B3"/>
    <w:rsid w:val="003E254A"/>
    <w:rsid w:val="003E6E7A"/>
    <w:rsid w:val="003F17FC"/>
    <w:rsid w:val="003F4B8C"/>
    <w:rsid w:val="003F6374"/>
    <w:rsid w:val="00401471"/>
    <w:rsid w:val="004043A3"/>
    <w:rsid w:val="00405379"/>
    <w:rsid w:val="0041162D"/>
    <w:rsid w:val="004146EA"/>
    <w:rsid w:val="0042141F"/>
    <w:rsid w:val="00435549"/>
    <w:rsid w:val="004372E7"/>
    <w:rsid w:val="004374D5"/>
    <w:rsid w:val="00440154"/>
    <w:rsid w:val="00446020"/>
    <w:rsid w:val="004510DB"/>
    <w:rsid w:val="00457819"/>
    <w:rsid w:val="00460D48"/>
    <w:rsid w:val="00461B9D"/>
    <w:rsid w:val="00465598"/>
    <w:rsid w:val="00465869"/>
    <w:rsid w:val="00466387"/>
    <w:rsid w:val="00475ACB"/>
    <w:rsid w:val="00481CD4"/>
    <w:rsid w:val="00485DFE"/>
    <w:rsid w:val="004918C7"/>
    <w:rsid w:val="00492011"/>
    <w:rsid w:val="00492F1D"/>
    <w:rsid w:val="00494D34"/>
    <w:rsid w:val="0049655E"/>
    <w:rsid w:val="00497C20"/>
    <w:rsid w:val="004A0D58"/>
    <w:rsid w:val="004B2E77"/>
    <w:rsid w:val="004B4F60"/>
    <w:rsid w:val="004C0D29"/>
    <w:rsid w:val="004C17DE"/>
    <w:rsid w:val="004C40C2"/>
    <w:rsid w:val="004C5926"/>
    <w:rsid w:val="004D1BC0"/>
    <w:rsid w:val="004D23DB"/>
    <w:rsid w:val="004D2646"/>
    <w:rsid w:val="004D6C93"/>
    <w:rsid w:val="004E5277"/>
    <w:rsid w:val="004E54B4"/>
    <w:rsid w:val="004E5CE3"/>
    <w:rsid w:val="004E7156"/>
    <w:rsid w:val="004F230E"/>
    <w:rsid w:val="004F6EE5"/>
    <w:rsid w:val="00500ECD"/>
    <w:rsid w:val="0050483B"/>
    <w:rsid w:val="00504D9B"/>
    <w:rsid w:val="00505044"/>
    <w:rsid w:val="00506557"/>
    <w:rsid w:val="005127CE"/>
    <w:rsid w:val="005132E7"/>
    <w:rsid w:val="0051412F"/>
    <w:rsid w:val="00523228"/>
    <w:rsid w:val="0053004B"/>
    <w:rsid w:val="00536A64"/>
    <w:rsid w:val="0054136F"/>
    <w:rsid w:val="00543795"/>
    <w:rsid w:val="00543CF5"/>
    <w:rsid w:val="00545E13"/>
    <w:rsid w:val="005461C5"/>
    <w:rsid w:val="00547643"/>
    <w:rsid w:val="00552845"/>
    <w:rsid w:val="00552CCE"/>
    <w:rsid w:val="005607A2"/>
    <w:rsid w:val="00560952"/>
    <w:rsid w:val="005705EF"/>
    <w:rsid w:val="00575285"/>
    <w:rsid w:val="00576297"/>
    <w:rsid w:val="00576E53"/>
    <w:rsid w:val="00587993"/>
    <w:rsid w:val="00595B8C"/>
    <w:rsid w:val="00596F71"/>
    <w:rsid w:val="0059738C"/>
    <w:rsid w:val="005A1243"/>
    <w:rsid w:val="005A4880"/>
    <w:rsid w:val="005A5662"/>
    <w:rsid w:val="005B1C13"/>
    <w:rsid w:val="005B65BE"/>
    <w:rsid w:val="005C06CF"/>
    <w:rsid w:val="005C458A"/>
    <w:rsid w:val="005C5A39"/>
    <w:rsid w:val="005C6EA5"/>
    <w:rsid w:val="005C6FCA"/>
    <w:rsid w:val="005D26A2"/>
    <w:rsid w:val="005D3BD1"/>
    <w:rsid w:val="005D61DD"/>
    <w:rsid w:val="005D63D4"/>
    <w:rsid w:val="005D7566"/>
    <w:rsid w:val="005E33A5"/>
    <w:rsid w:val="005E4320"/>
    <w:rsid w:val="005E6EAA"/>
    <w:rsid w:val="005F00A0"/>
    <w:rsid w:val="005F1420"/>
    <w:rsid w:val="005F1DF5"/>
    <w:rsid w:val="005F3728"/>
    <w:rsid w:val="00605BCB"/>
    <w:rsid w:val="0061186E"/>
    <w:rsid w:val="00622153"/>
    <w:rsid w:val="00622859"/>
    <w:rsid w:val="00624232"/>
    <w:rsid w:val="00635AD4"/>
    <w:rsid w:val="00635B92"/>
    <w:rsid w:val="00645F7D"/>
    <w:rsid w:val="0065053C"/>
    <w:rsid w:val="0065575B"/>
    <w:rsid w:val="0066024B"/>
    <w:rsid w:val="006636E8"/>
    <w:rsid w:val="0066667D"/>
    <w:rsid w:val="00676A19"/>
    <w:rsid w:val="00682FB8"/>
    <w:rsid w:val="006858F5"/>
    <w:rsid w:val="00692A24"/>
    <w:rsid w:val="00693C93"/>
    <w:rsid w:val="006940D2"/>
    <w:rsid w:val="00694703"/>
    <w:rsid w:val="00696318"/>
    <w:rsid w:val="006A07EB"/>
    <w:rsid w:val="006A7DFF"/>
    <w:rsid w:val="006B2AC8"/>
    <w:rsid w:val="006D38BD"/>
    <w:rsid w:val="006D58CB"/>
    <w:rsid w:val="006E336C"/>
    <w:rsid w:val="006E4489"/>
    <w:rsid w:val="006E5491"/>
    <w:rsid w:val="006E5525"/>
    <w:rsid w:val="006E7821"/>
    <w:rsid w:val="006F1381"/>
    <w:rsid w:val="006F4D42"/>
    <w:rsid w:val="006F638C"/>
    <w:rsid w:val="00713038"/>
    <w:rsid w:val="00714158"/>
    <w:rsid w:val="0071486A"/>
    <w:rsid w:val="007172F5"/>
    <w:rsid w:val="00720270"/>
    <w:rsid w:val="00725329"/>
    <w:rsid w:val="007314B7"/>
    <w:rsid w:val="00731785"/>
    <w:rsid w:val="007337BB"/>
    <w:rsid w:val="00734B41"/>
    <w:rsid w:val="00734C63"/>
    <w:rsid w:val="007364DE"/>
    <w:rsid w:val="007401FE"/>
    <w:rsid w:val="007444BD"/>
    <w:rsid w:val="0075093C"/>
    <w:rsid w:val="00753E31"/>
    <w:rsid w:val="007543E6"/>
    <w:rsid w:val="00760116"/>
    <w:rsid w:val="00760216"/>
    <w:rsid w:val="00761950"/>
    <w:rsid w:val="00763D8B"/>
    <w:rsid w:val="00766C69"/>
    <w:rsid w:val="00770ED5"/>
    <w:rsid w:val="00773AA9"/>
    <w:rsid w:val="00773B7F"/>
    <w:rsid w:val="00775BC1"/>
    <w:rsid w:val="0077648C"/>
    <w:rsid w:val="00781163"/>
    <w:rsid w:val="00787299"/>
    <w:rsid w:val="007910DA"/>
    <w:rsid w:val="0079367F"/>
    <w:rsid w:val="007958E7"/>
    <w:rsid w:val="00796227"/>
    <w:rsid w:val="007964BC"/>
    <w:rsid w:val="007A2ABB"/>
    <w:rsid w:val="007A4C41"/>
    <w:rsid w:val="007B21FE"/>
    <w:rsid w:val="007B3589"/>
    <w:rsid w:val="007B4066"/>
    <w:rsid w:val="007B5328"/>
    <w:rsid w:val="007B5B4E"/>
    <w:rsid w:val="007B6ED6"/>
    <w:rsid w:val="007B7088"/>
    <w:rsid w:val="007C266A"/>
    <w:rsid w:val="007D0E49"/>
    <w:rsid w:val="007D512F"/>
    <w:rsid w:val="007D57E1"/>
    <w:rsid w:val="007D5C76"/>
    <w:rsid w:val="007E1E8F"/>
    <w:rsid w:val="007E2C82"/>
    <w:rsid w:val="007E3457"/>
    <w:rsid w:val="007E34D7"/>
    <w:rsid w:val="007E41AD"/>
    <w:rsid w:val="007E63E8"/>
    <w:rsid w:val="007F2A2C"/>
    <w:rsid w:val="00806441"/>
    <w:rsid w:val="00807212"/>
    <w:rsid w:val="008158B5"/>
    <w:rsid w:val="008220E1"/>
    <w:rsid w:val="0083097D"/>
    <w:rsid w:val="0083145B"/>
    <w:rsid w:val="00833178"/>
    <w:rsid w:val="00833323"/>
    <w:rsid w:val="00836EED"/>
    <w:rsid w:val="00837F49"/>
    <w:rsid w:val="00844CC0"/>
    <w:rsid w:val="00846F13"/>
    <w:rsid w:val="008543DA"/>
    <w:rsid w:val="00856201"/>
    <w:rsid w:val="00863D67"/>
    <w:rsid w:val="0086405A"/>
    <w:rsid w:val="008650CA"/>
    <w:rsid w:val="00867627"/>
    <w:rsid w:val="0087194A"/>
    <w:rsid w:val="00876BC7"/>
    <w:rsid w:val="008832AE"/>
    <w:rsid w:val="00886F69"/>
    <w:rsid w:val="008929CB"/>
    <w:rsid w:val="00897D10"/>
    <w:rsid w:val="00897D73"/>
    <w:rsid w:val="008A224C"/>
    <w:rsid w:val="008A26A2"/>
    <w:rsid w:val="008B2BAB"/>
    <w:rsid w:val="008B3235"/>
    <w:rsid w:val="008B633A"/>
    <w:rsid w:val="008C14FF"/>
    <w:rsid w:val="008C5C7E"/>
    <w:rsid w:val="008C7B2B"/>
    <w:rsid w:val="008D050E"/>
    <w:rsid w:val="008D4FC2"/>
    <w:rsid w:val="008E11BF"/>
    <w:rsid w:val="008E346D"/>
    <w:rsid w:val="008E4DF9"/>
    <w:rsid w:val="008F004A"/>
    <w:rsid w:val="008F056E"/>
    <w:rsid w:val="008F153F"/>
    <w:rsid w:val="008F4EF5"/>
    <w:rsid w:val="008F554D"/>
    <w:rsid w:val="00905465"/>
    <w:rsid w:val="009055E9"/>
    <w:rsid w:val="009069C5"/>
    <w:rsid w:val="00912CE8"/>
    <w:rsid w:val="00915B91"/>
    <w:rsid w:val="00915E09"/>
    <w:rsid w:val="0092046C"/>
    <w:rsid w:val="00920EE9"/>
    <w:rsid w:val="00922474"/>
    <w:rsid w:val="00922A28"/>
    <w:rsid w:val="00922EDD"/>
    <w:rsid w:val="009236C1"/>
    <w:rsid w:val="00925AA8"/>
    <w:rsid w:val="00926586"/>
    <w:rsid w:val="009334A2"/>
    <w:rsid w:val="009348FE"/>
    <w:rsid w:val="0093507C"/>
    <w:rsid w:val="00935515"/>
    <w:rsid w:val="00936117"/>
    <w:rsid w:val="0094179D"/>
    <w:rsid w:val="00944196"/>
    <w:rsid w:val="0094524B"/>
    <w:rsid w:val="00946BCB"/>
    <w:rsid w:val="009477C2"/>
    <w:rsid w:val="00953AF1"/>
    <w:rsid w:val="009614D6"/>
    <w:rsid w:val="00961D5B"/>
    <w:rsid w:val="00961F71"/>
    <w:rsid w:val="00971007"/>
    <w:rsid w:val="0097314C"/>
    <w:rsid w:val="00973336"/>
    <w:rsid w:val="00975EFD"/>
    <w:rsid w:val="00976257"/>
    <w:rsid w:val="00982C10"/>
    <w:rsid w:val="009864B3"/>
    <w:rsid w:val="00987023"/>
    <w:rsid w:val="00987612"/>
    <w:rsid w:val="00996339"/>
    <w:rsid w:val="009A1B50"/>
    <w:rsid w:val="009A5DC6"/>
    <w:rsid w:val="009B12FA"/>
    <w:rsid w:val="009B259A"/>
    <w:rsid w:val="009B5806"/>
    <w:rsid w:val="009C370C"/>
    <w:rsid w:val="009C3CD3"/>
    <w:rsid w:val="009C662C"/>
    <w:rsid w:val="009C7BC6"/>
    <w:rsid w:val="009D09CD"/>
    <w:rsid w:val="009D199D"/>
    <w:rsid w:val="009D3220"/>
    <w:rsid w:val="009D77BA"/>
    <w:rsid w:val="009E3593"/>
    <w:rsid w:val="009E42E7"/>
    <w:rsid w:val="009E4FBD"/>
    <w:rsid w:val="009E5490"/>
    <w:rsid w:val="009E72E0"/>
    <w:rsid w:val="009F2AA1"/>
    <w:rsid w:val="00A00627"/>
    <w:rsid w:val="00A0250D"/>
    <w:rsid w:val="00A07060"/>
    <w:rsid w:val="00A20208"/>
    <w:rsid w:val="00A33587"/>
    <w:rsid w:val="00A348ED"/>
    <w:rsid w:val="00A43362"/>
    <w:rsid w:val="00A463BE"/>
    <w:rsid w:val="00A50960"/>
    <w:rsid w:val="00A53457"/>
    <w:rsid w:val="00A55136"/>
    <w:rsid w:val="00A5606F"/>
    <w:rsid w:val="00A62C16"/>
    <w:rsid w:val="00A642AE"/>
    <w:rsid w:val="00A64682"/>
    <w:rsid w:val="00A66718"/>
    <w:rsid w:val="00A7145F"/>
    <w:rsid w:val="00A74E7F"/>
    <w:rsid w:val="00A75DD1"/>
    <w:rsid w:val="00A85714"/>
    <w:rsid w:val="00A87312"/>
    <w:rsid w:val="00A913F7"/>
    <w:rsid w:val="00A9231C"/>
    <w:rsid w:val="00A92E36"/>
    <w:rsid w:val="00A937F8"/>
    <w:rsid w:val="00A95767"/>
    <w:rsid w:val="00AA26EF"/>
    <w:rsid w:val="00AA2C7C"/>
    <w:rsid w:val="00AA405F"/>
    <w:rsid w:val="00AA4ABE"/>
    <w:rsid w:val="00AB4788"/>
    <w:rsid w:val="00AB5E7D"/>
    <w:rsid w:val="00AB5ED4"/>
    <w:rsid w:val="00AC3BA1"/>
    <w:rsid w:val="00AC4BA8"/>
    <w:rsid w:val="00AD0239"/>
    <w:rsid w:val="00AD2FC2"/>
    <w:rsid w:val="00AD5175"/>
    <w:rsid w:val="00AE4F49"/>
    <w:rsid w:val="00AE687E"/>
    <w:rsid w:val="00AE6D3E"/>
    <w:rsid w:val="00AF4C87"/>
    <w:rsid w:val="00AF6AA6"/>
    <w:rsid w:val="00B000EB"/>
    <w:rsid w:val="00B002F7"/>
    <w:rsid w:val="00B024CE"/>
    <w:rsid w:val="00B02F2C"/>
    <w:rsid w:val="00B04CC1"/>
    <w:rsid w:val="00B04D1C"/>
    <w:rsid w:val="00B04FDE"/>
    <w:rsid w:val="00B0774E"/>
    <w:rsid w:val="00B11CE6"/>
    <w:rsid w:val="00B12A16"/>
    <w:rsid w:val="00B14031"/>
    <w:rsid w:val="00B14ED1"/>
    <w:rsid w:val="00B177D5"/>
    <w:rsid w:val="00B21950"/>
    <w:rsid w:val="00B274BE"/>
    <w:rsid w:val="00B309BD"/>
    <w:rsid w:val="00B311F7"/>
    <w:rsid w:val="00B32124"/>
    <w:rsid w:val="00B36982"/>
    <w:rsid w:val="00B417BB"/>
    <w:rsid w:val="00B46852"/>
    <w:rsid w:val="00B52A80"/>
    <w:rsid w:val="00B54E99"/>
    <w:rsid w:val="00B551DC"/>
    <w:rsid w:val="00B56442"/>
    <w:rsid w:val="00B57E23"/>
    <w:rsid w:val="00B60266"/>
    <w:rsid w:val="00B61B9B"/>
    <w:rsid w:val="00B63B10"/>
    <w:rsid w:val="00B65614"/>
    <w:rsid w:val="00B65AB2"/>
    <w:rsid w:val="00B71C0E"/>
    <w:rsid w:val="00B71D03"/>
    <w:rsid w:val="00B73E64"/>
    <w:rsid w:val="00B86B3A"/>
    <w:rsid w:val="00B95899"/>
    <w:rsid w:val="00B9674D"/>
    <w:rsid w:val="00B9795A"/>
    <w:rsid w:val="00BA2A2E"/>
    <w:rsid w:val="00BA3DF6"/>
    <w:rsid w:val="00BA4484"/>
    <w:rsid w:val="00BA6C18"/>
    <w:rsid w:val="00BB213F"/>
    <w:rsid w:val="00BB3606"/>
    <w:rsid w:val="00BB684D"/>
    <w:rsid w:val="00BC4CED"/>
    <w:rsid w:val="00BD0316"/>
    <w:rsid w:val="00BD1C0C"/>
    <w:rsid w:val="00BD202F"/>
    <w:rsid w:val="00BD5669"/>
    <w:rsid w:val="00BD5ABF"/>
    <w:rsid w:val="00BD700E"/>
    <w:rsid w:val="00BD7CF8"/>
    <w:rsid w:val="00BE071F"/>
    <w:rsid w:val="00BE586C"/>
    <w:rsid w:val="00BE5CBA"/>
    <w:rsid w:val="00BF0A4B"/>
    <w:rsid w:val="00BF2C6B"/>
    <w:rsid w:val="00C060EA"/>
    <w:rsid w:val="00C14AE3"/>
    <w:rsid w:val="00C15A01"/>
    <w:rsid w:val="00C15B78"/>
    <w:rsid w:val="00C16D67"/>
    <w:rsid w:val="00C22D6A"/>
    <w:rsid w:val="00C272B0"/>
    <w:rsid w:val="00C322A4"/>
    <w:rsid w:val="00C349E9"/>
    <w:rsid w:val="00C44C84"/>
    <w:rsid w:val="00C52D54"/>
    <w:rsid w:val="00C54097"/>
    <w:rsid w:val="00C55348"/>
    <w:rsid w:val="00C57514"/>
    <w:rsid w:val="00C577C2"/>
    <w:rsid w:val="00C57E8B"/>
    <w:rsid w:val="00C642BC"/>
    <w:rsid w:val="00C652C6"/>
    <w:rsid w:val="00C711C1"/>
    <w:rsid w:val="00C71F2F"/>
    <w:rsid w:val="00C722DF"/>
    <w:rsid w:val="00C82805"/>
    <w:rsid w:val="00C874C3"/>
    <w:rsid w:val="00C87B99"/>
    <w:rsid w:val="00C94E67"/>
    <w:rsid w:val="00CA0043"/>
    <w:rsid w:val="00CA28C4"/>
    <w:rsid w:val="00CB0A2C"/>
    <w:rsid w:val="00CB2AB8"/>
    <w:rsid w:val="00CB7978"/>
    <w:rsid w:val="00CB7B11"/>
    <w:rsid w:val="00CC187C"/>
    <w:rsid w:val="00CC33A4"/>
    <w:rsid w:val="00CC6510"/>
    <w:rsid w:val="00CC7F8A"/>
    <w:rsid w:val="00CD3E7E"/>
    <w:rsid w:val="00CE4000"/>
    <w:rsid w:val="00CE574F"/>
    <w:rsid w:val="00CE7740"/>
    <w:rsid w:val="00CF7C39"/>
    <w:rsid w:val="00D00156"/>
    <w:rsid w:val="00D07463"/>
    <w:rsid w:val="00D10CE5"/>
    <w:rsid w:val="00D35EF8"/>
    <w:rsid w:val="00D361FA"/>
    <w:rsid w:val="00D36278"/>
    <w:rsid w:val="00D37682"/>
    <w:rsid w:val="00D4476E"/>
    <w:rsid w:val="00D478BF"/>
    <w:rsid w:val="00D47B38"/>
    <w:rsid w:val="00D51594"/>
    <w:rsid w:val="00D536E6"/>
    <w:rsid w:val="00D602F8"/>
    <w:rsid w:val="00D74DD1"/>
    <w:rsid w:val="00D75924"/>
    <w:rsid w:val="00D86000"/>
    <w:rsid w:val="00D86DA7"/>
    <w:rsid w:val="00D91375"/>
    <w:rsid w:val="00D91AB4"/>
    <w:rsid w:val="00D968D4"/>
    <w:rsid w:val="00DA0AB4"/>
    <w:rsid w:val="00DA0F48"/>
    <w:rsid w:val="00DA12D3"/>
    <w:rsid w:val="00DA6F2E"/>
    <w:rsid w:val="00DA73FC"/>
    <w:rsid w:val="00DB5EAE"/>
    <w:rsid w:val="00DC3238"/>
    <w:rsid w:val="00DC355D"/>
    <w:rsid w:val="00DC447C"/>
    <w:rsid w:val="00DC448B"/>
    <w:rsid w:val="00DC7A5D"/>
    <w:rsid w:val="00DC7C49"/>
    <w:rsid w:val="00DD08EF"/>
    <w:rsid w:val="00DD1539"/>
    <w:rsid w:val="00DE2CC5"/>
    <w:rsid w:val="00DF0533"/>
    <w:rsid w:val="00DF18F1"/>
    <w:rsid w:val="00DF39B6"/>
    <w:rsid w:val="00DF4AB1"/>
    <w:rsid w:val="00DF7CD8"/>
    <w:rsid w:val="00E004D5"/>
    <w:rsid w:val="00E12B69"/>
    <w:rsid w:val="00E1361D"/>
    <w:rsid w:val="00E150CE"/>
    <w:rsid w:val="00E30DEA"/>
    <w:rsid w:val="00E31F13"/>
    <w:rsid w:val="00E3607C"/>
    <w:rsid w:val="00E50E84"/>
    <w:rsid w:val="00E529E4"/>
    <w:rsid w:val="00E5472A"/>
    <w:rsid w:val="00E54C22"/>
    <w:rsid w:val="00E56C15"/>
    <w:rsid w:val="00E64F66"/>
    <w:rsid w:val="00E67AE0"/>
    <w:rsid w:val="00E744D6"/>
    <w:rsid w:val="00E74EB5"/>
    <w:rsid w:val="00E769BE"/>
    <w:rsid w:val="00E77299"/>
    <w:rsid w:val="00E776D5"/>
    <w:rsid w:val="00E83177"/>
    <w:rsid w:val="00E84186"/>
    <w:rsid w:val="00E8438B"/>
    <w:rsid w:val="00E87A3C"/>
    <w:rsid w:val="00E90BDB"/>
    <w:rsid w:val="00E921D7"/>
    <w:rsid w:val="00E92AFB"/>
    <w:rsid w:val="00E955CF"/>
    <w:rsid w:val="00E96850"/>
    <w:rsid w:val="00E9706A"/>
    <w:rsid w:val="00EA477D"/>
    <w:rsid w:val="00EA550D"/>
    <w:rsid w:val="00EA55F8"/>
    <w:rsid w:val="00EA7470"/>
    <w:rsid w:val="00EB051F"/>
    <w:rsid w:val="00EB0BD7"/>
    <w:rsid w:val="00EB3F93"/>
    <w:rsid w:val="00EB44D8"/>
    <w:rsid w:val="00EB572A"/>
    <w:rsid w:val="00EB5907"/>
    <w:rsid w:val="00EC637E"/>
    <w:rsid w:val="00EC7401"/>
    <w:rsid w:val="00ED3B5C"/>
    <w:rsid w:val="00ED7DEE"/>
    <w:rsid w:val="00EE6195"/>
    <w:rsid w:val="00EE775F"/>
    <w:rsid w:val="00EF1DBB"/>
    <w:rsid w:val="00F07607"/>
    <w:rsid w:val="00F13053"/>
    <w:rsid w:val="00F17144"/>
    <w:rsid w:val="00F21D7D"/>
    <w:rsid w:val="00F31A86"/>
    <w:rsid w:val="00F34317"/>
    <w:rsid w:val="00F36420"/>
    <w:rsid w:val="00F37929"/>
    <w:rsid w:val="00F426A0"/>
    <w:rsid w:val="00F44636"/>
    <w:rsid w:val="00F44A70"/>
    <w:rsid w:val="00F530AB"/>
    <w:rsid w:val="00F535C2"/>
    <w:rsid w:val="00F56D2C"/>
    <w:rsid w:val="00F6052C"/>
    <w:rsid w:val="00F607E9"/>
    <w:rsid w:val="00F60FD9"/>
    <w:rsid w:val="00F67020"/>
    <w:rsid w:val="00F67526"/>
    <w:rsid w:val="00F72114"/>
    <w:rsid w:val="00F86F51"/>
    <w:rsid w:val="00F910BF"/>
    <w:rsid w:val="00F91317"/>
    <w:rsid w:val="00F95137"/>
    <w:rsid w:val="00FA696F"/>
    <w:rsid w:val="00FB27B0"/>
    <w:rsid w:val="00FB2E29"/>
    <w:rsid w:val="00FB4D68"/>
    <w:rsid w:val="00FB5E6A"/>
    <w:rsid w:val="00FC0A92"/>
    <w:rsid w:val="00FC45A1"/>
    <w:rsid w:val="00FC7F83"/>
    <w:rsid w:val="00FD4488"/>
    <w:rsid w:val="00FD59FA"/>
    <w:rsid w:val="00FE3BC0"/>
    <w:rsid w:val="00FE5791"/>
    <w:rsid w:val="00FF4D39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5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86;&#1082;&#1090;&#1103;&#1073;&#1088;&#1103;%202015\&#1040;&#1085;&#1072;&#1083;&#1080;&#1079;%20&#1080;&#1089;&#1087;&#1086;&#1083;&#1085;&#1077;&#1085;&#1080;&#1103;%20&#1073;&#1102;&#1076;&#1078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86;&#1082;&#1090;&#1103;&#1073;&#1088;&#1103;%202015\&#1040;&#1085;&#1072;&#1083;&#1080;&#1079;%20&#1080;&#1089;&#1087;&#1086;&#1083;&#1085;&#1077;&#1085;&#1080;&#1103;%20&#1073;&#1102;&#1076;&#1078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86;&#1082;&#1090;&#1103;&#1073;&#1088;&#1103;%202015\&#1040;&#1085;&#1072;&#1083;&#1080;&#1079;%20&#1080;&#1089;&#1087;&#1086;&#1083;&#1085;&#1077;&#1085;&#1080;&#1103;%20&#1073;&#1102;&#1076;&#1078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86;&#1082;&#1090;&#1103;&#1073;&#1088;&#1103;%202015\&#1040;&#1085;&#1072;&#1083;&#1080;&#1079;%20&#1080;&#1089;&#1087;&#1086;&#1083;&#1085;&#1077;&#1085;&#1080;&#1103;%20&#1073;&#1102;&#1076;&#1078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86;&#1082;&#1090;&#1103;&#1073;&#1088;&#1103;%202015\&#1040;&#1085;&#1072;&#1083;&#1080;&#1079;%20&#1080;&#1089;&#1087;&#1086;&#1083;&#1085;&#1077;&#1085;&#1080;&#1103;%20&#1073;&#1102;&#1076;&#1078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28903944990639"/>
          <c:y val="7.6756186933124609E-2"/>
          <c:w val="0.86260254909615652"/>
          <c:h val="0.86739198070215118"/>
        </c:manualLayout>
      </c:layout>
      <c:bar3DChart>
        <c:barDir val="col"/>
        <c:grouping val="clustered"/>
        <c:varyColors val="0"/>
        <c:ser>
          <c:idx val="0"/>
          <c:order val="0"/>
          <c:tx>
            <c:v>Исполнение на 01.10.2015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9320794148387E-2"/>
                  <c:y val="-2.66666666666666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421</a:t>
                    </a:r>
                    <a:r>
                      <a:rPr lang="ru-RU"/>
                      <a:t> </a:t>
                    </a:r>
                    <a:r>
                      <a:rPr lang="en-US"/>
                      <a:t>919,8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797283176593578E-3"/>
                  <c:y val="-2.73348519362186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348</a:t>
                    </a:r>
                    <a:r>
                      <a:rPr lang="ru-RU"/>
                      <a:t> </a:t>
                    </a:r>
                    <a:r>
                      <a:rPr lang="en-US"/>
                      <a:t>229,4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8294168842471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  <a:r>
                      <a:rPr lang="ru-RU"/>
                      <a:t> </a:t>
                    </a:r>
                    <a:r>
                      <a:rPr lang="en-US"/>
                      <a:t>690,4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Динамика!$A$26:$C$26</c:f>
              <c:strCache>
                <c:ptCount val="3"/>
                <c:pt idx="0">
                  <c:v>Консолидированный бюджет</c:v>
                </c:pt>
                <c:pt idx="1">
                  <c:v>Районный бюджет</c:v>
                </c:pt>
                <c:pt idx="2">
                  <c:v>Бюджеты поселений</c:v>
                </c:pt>
              </c:strCache>
            </c:strRef>
          </c:cat>
          <c:val>
            <c:numRef>
              <c:f>Динамика!$A$4:$A$6</c:f>
              <c:numCache>
                <c:formatCode>0.0</c:formatCode>
                <c:ptCount val="3"/>
                <c:pt idx="0" formatCode="General">
                  <c:v>421919.8</c:v>
                </c:pt>
                <c:pt idx="1">
                  <c:v>348229.4</c:v>
                </c:pt>
                <c:pt idx="2">
                  <c:v>73690.399999999994</c:v>
                </c:pt>
              </c:numCache>
            </c:numRef>
          </c:val>
        </c:ser>
        <c:ser>
          <c:idx val="1"/>
          <c:order val="1"/>
          <c:tx>
            <c:v>Исполнение на 01.10.2014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79728317659355E-2"/>
                  <c:y val="-2.96296296296297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391</a:t>
                    </a:r>
                    <a:r>
                      <a:rPr lang="ru-RU"/>
                      <a:t> </a:t>
                    </a:r>
                    <a:r>
                      <a:rPr lang="en-US"/>
                      <a:t>705,1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60481314581095E-2"/>
                  <c:y val="-3.03720291844253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306</a:t>
                    </a:r>
                    <a:r>
                      <a:rPr lang="ru-RU"/>
                      <a:t> </a:t>
                    </a:r>
                    <a:r>
                      <a:rPr lang="en-US"/>
                      <a:t>673,7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3456014026759894E-2"/>
                  <c:y val="-2.49650445070512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  <a:r>
                      <a:rPr lang="ru-RU"/>
                      <a:t> </a:t>
                    </a:r>
                    <a:r>
                      <a:rPr lang="en-US"/>
                      <a:t>031,4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Динамика!$A$26:$C$26</c:f>
              <c:strCache>
                <c:ptCount val="3"/>
                <c:pt idx="0">
                  <c:v>Консолидированный бюджет</c:v>
                </c:pt>
                <c:pt idx="1">
                  <c:v>Районный бюджет</c:v>
                </c:pt>
                <c:pt idx="2">
                  <c:v>Бюджеты поселений</c:v>
                </c:pt>
              </c:strCache>
            </c:strRef>
          </c:cat>
          <c:val>
            <c:numRef>
              <c:f>Динамика!$B$4:$B$6</c:f>
              <c:numCache>
                <c:formatCode>General</c:formatCode>
                <c:ptCount val="3"/>
                <c:pt idx="0">
                  <c:v>391705.1</c:v>
                </c:pt>
                <c:pt idx="1">
                  <c:v>306673.7</c:v>
                </c:pt>
                <c:pt idx="2" formatCode="0.0">
                  <c:v>85031.4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671552"/>
        <c:axId val="92300032"/>
        <c:axId val="0"/>
      </c:bar3DChart>
      <c:catAx>
        <c:axId val="9167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00032"/>
        <c:crosses val="autoZero"/>
        <c:auto val="1"/>
        <c:lblAlgn val="ctr"/>
        <c:lblOffset val="100"/>
        <c:noMultiLvlLbl val="0"/>
      </c:catAx>
      <c:valAx>
        <c:axId val="9230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67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70042390322391"/>
          <c:y val="2.0114458169792982E-3"/>
          <c:w val="0.54840719387429349"/>
          <c:h val="9.47315417094603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3145726923924"/>
          <c:y val="0.34907251264755507"/>
          <c:w val="0.57557613822429676"/>
          <c:h val="0.3844856661045537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5892866062860693E-2"/>
                  <c:y val="-0.20065793332253701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Налоговые доходы
21,9%</a:t>
                    </a:r>
                    <a:endParaRPr lang="ru-RU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03412511666572E-2"/>
                  <c:y val="0.12399819672346404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Неналоговые доходы
9,6%</a:t>
                    </a:r>
                    <a:endParaRPr lang="ru-RU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769576590906216E-2"/>
                  <c:y val="1.1042530189562897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Безвозмездные поступления
68,5%</a:t>
                    </a:r>
                    <a:endParaRPr lang="ru-RU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0.21900000000000011</c:v>
                </c:pt>
                <c:pt idx="1">
                  <c:v>9.6000000000000002E-2</c:v>
                </c:pt>
                <c:pt idx="2">
                  <c:v>0.68500000000000005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232678109950809"/>
          <c:y val="0.35118033369684837"/>
          <c:w val="0.43032376838133257"/>
          <c:h val="0.2897732632229214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1169222778241658E-2"/>
                  <c:y val="-0.2562705342756351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Штрафы 
5,4%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936805190357612"/>
                  <c:y val="-0.26447007729891026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Налоги на совокупный доход
8,5%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347004927365262"/>
                  <c:y val="-0.13409746560988114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Доходы от использования имущества 23,3%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105616089307364E-2"/>
                  <c:y val="0.2234776715706811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Остальные налоги и сборы 8,0%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81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Налог на доходы физических лиц 
54,8%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5.4</c:v>
                </c:pt>
                <c:pt idx="1">
                  <c:v>8.5</c:v>
                </c:pt>
                <c:pt idx="2">
                  <c:v>23.3</c:v>
                </c:pt>
                <c:pt idx="3">
                  <c:v>8</c:v>
                </c:pt>
                <c:pt idx="4">
                  <c:v>54.8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736718122533426E-2"/>
          <c:y val="1.7949410735422781E-2"/>
          <c:w val="0.85753543307086655"/>
          <c:h val="0.7833549416105253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'Ритмичность (2)'!$A$24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'Ритмичность (2)'!$A$23:$L$23</c:f>
              <c:strCache>
                <c:ptCount val="9"/>
                <c:pt idx="0">
                  <c:v>на 01.02.2015г.</c:v>
                </c:pt>
                <c:pt idx="1">
                  <c:v>на 01.03.2015г.</c:v>
                </c:pt>
                <c:pt idx="2">
                  <c:v>на 01.04.2015г.</c:v>
                </c:pt>
                <c:pt idx="3">
                  <c:v>на 01.05.2015г.</c:v>
                </c:pt>
                <c:pt idx="4">
                  <c:v>на 01.06.2015г.</c:v>
                </c:pt>
                <c:pt idx="5">
                  <c:v>на 01.07.2015г.</c:v>
                </c:pt>
                <c:pt idx="6">
                  <c:v>на 01.08.2015г</c:v>
                </c:pt>
                <c:pt idx="7">
                  <c:v>на 01.09.2015г</c:v>
                </c:pt>
                <c:pt idx="8">
                  <c:v>на 01.10.2015г</c:v>
                </c:pt>
              </c:strCache>
            </c:strRef>
          </c:cat>
          <c:val>
            <c:numRef>
              <c:f>'Ритмичность (2)'!$A$4:$A$15</c:f>
              <c:numCache>
                <c:formatCode>General</c:formatCode>
                <c:ptCount val="12"/>
                <c:pt idx="0">
                  <c:v>4813.3</c:v>
                </c:pt>
                <c:pt idx="1">
                  <c:v>1201.9000000000001</c:v>
                </c:pt>
                <c:pt idx="2">
                  <c:v>10984.7</c:v>
                </c:pt>
                <c:pt idx="3">
                  <c:v>2839.3</c:v>
                </c:pt>
                <c:pt idx="4">
                  <c:v>749</c:v>
                </c:pt>
                <c:pt idx="5">
                  <c:v>2783.3</c:v>
                </c:pt>
                <c:pt idx="6">
                  <c:v>4126.4000000000005</c:v>
                </c:pt>
                <c:pt idx="7" formatCode="0.0">
                  <c:v>2108.1999999999998</c:v>
                </c:pt>
                <c:pt idx="8" formatCode="0.0">
                  <c:v>3631</c:v>
                </c:pt>
              </c:numCache>
            </c:numRef>
          </c:val>
        </c:ser>
        <c:ser>
          <c:idx val="1"/>
          <c:order val="1"/>
          <c:tx>
            <c:strRef>
              <c:f>'Ритмичность (2)'!$A$25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="0"/>
                      <a:t>4378,4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'Ритмичность (2)'!$A$23:$L$23</c:f>
              <c:strCache>
                <c:ptCount val="9"/>
                <c:pt idx="0">
                  <c:v>на 01.02.2015г.</c:v>
                </c:pt>
                <c:pt idx="1">
                  <c:v>на 01.03.2015г.</c:v>
                </c:pt>
                <c:pt idx="2">
                  <c:v>на 01.04.2015г.</c:v>
                </c:pt>
                <c:pt idx="3">
                  <c:v>на 01.05.2015г.</c:v>
                </c:pt>
                <c:pt idx="4">
                  <c:v>на 01.06.2015г.</c:v>
                </c:pt>
                <c:pt idx="5">
                  <c:v>на 01.07.2015г.</c:v>
                </c:pt>
                <c:pt idx="6">
                  <c:v>на 01.08.2015г</c:v>
                </c:pt>
                <c:pt idx="7">
                  <c:v>на 01.09.2015г</c:v>
                </c:pt>
                <c:pt idx="8">
                  <c:v>на 01.10.2015г</c:v>
                </c:pt>
              </c:strCache>
            </c:strRef>
          </c:cat>
          <c:val>
            <c:numRef>
              <c:f>'Ритмичность (2)'!$B$4:$B$15</c:f>
              <c:numCache>
                <c:formatCode>General</c:formatCode>
                <c:ptCount val="12"/>
                <c:pt idx="0">
                  <c:v>8395.9</c:v>
                </c:pt>
                <c:pt idx="1">
                  <c:v>6964.7</c:v>
                </c:pt>
                <c:pt idx="2">
                  <c:v>9101.299999999992</c:v>
                </c:pt>
                <c:pt idx="3">
                  <c:v>9991.7000000000007</c:v>
                </c:pt>
                <c:pt idx="4">
                  <c:v>7386.7</c:v>
                </c:pt>
                <c:pt idx="5">
                  <c:v>9075.7000000000007</c:v>
                </c:pt>
                <c:pt idx="6">
                  <c:v>10335.1</c:v>
                </c:pt>
                <c:pt idx="7" formatCode="0.0">
                  <c:v>7630.6</c:v>
                </c:pt>
                <c:pt idx="8" formatCode="0.0">
                  <c:v>7393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581312"/>
        <c:axId val="99583104"/>
        <c:axId val="0"/>
      </c:bar3DChart>
      <c:catAx>
        <c:axId val="99581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11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83104"/>
        <c:crosses val="autoZero"/>
        <c:auto val="1"/>
        <c:lblAlgn val="ctr"/>
        <c:lblOffset val="100"/>
        <c:noMultiLvlLbl val="0"/>
      </c:catAx>
      <c:valAx>
        <c:axId val="9958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8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83166195503177"/>
          <c:y val="8.794572405882925E-2"/>
          <c:w val="0.84685959858288906"/>
          <c:h val="0.8148813978459635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7962899907782121E-2"/>
                  <c:y val="0.135548883237844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78,4 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767820689080554E-2"/>
                  <c:y val="1.0467689383654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</a:t>
                    </a:r>
                    <a:r>
                      <a:rPr lang="ru-RU" baseline="0"/>
                      <a:t> 0,5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231457178963737E-2"/>
                  <c:y val="-9.12751607696400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</a:t>
                    </a:r>
                    <a:r>
                      <a:rPr lang="ru-RU" baseline="0"/>
                      <a:t> трансферты 3,3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434334597064252E-2"/>
                  <c:y val="-0.130815209277201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2,1 %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7166631948784192"/>
                  <c:y val="-6.57516517331885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15,7 %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01.10.2015     '!$I$201:$I$206</c:f>
              <c:numCache>
                <c:formatCode>General</c:formatCode>
                <c:ptCount val="6"/>
                <c:pt idx="0">
                  <c:v>78.400000000000006</c:v>
                </c:pt>
                <c:pt idx="1">
                  <c:v>0.5</c:v>
                </c:pt>
                <c:pt idx="2">
                  <c:v>3.3</c:v>
                </c:pt>
                <c:pt idx="3">
                  <c:v>2.1</c:v>
                </c:pt>
                <c:pt idx="4">
                  <c:v>15.7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038805633166907E-2"/>
          <c:y val="0.13678522809592089"/>
          <c:w val="0.82143881053330792"/>
          <c:h val="0.7793663192631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4.2596838856682466E-2"/>
                  <c:y val="-4.61839219699659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Расходы на социальную сферу 20,3 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744531933508127E-3"/>
                  <c:y val="0.2074729354482864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Жилищно-коммунальное хозяйство 32,5 %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483516483516494"/>
                  <c:y val="0.1271185001079109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Национальная</a:t>
                    </a:r>
                  </a:p>
                  <a:p>
                    <a:r>
                      <a:rPr lang="ru-RU" sz="1000"/>
                      <a:t>экономика 3,1 %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39278469223605161"/>
                  <c:y val="-3.0812345317946164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Национальная оборона 1,2 %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387096774193554E-2"/>
                  <c:y val="-0.371145175993190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42,9 %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01.10.2015     '!$I$247:$I$251</c:f>
              <c:numCache>
                <c:formatCode>General</c:formatCode>
                <c:ptCount val="5"/>
                <c:pt idx="0">
                  <c:v>20.3</c:v>
                </c:pt>
                <c:pt idx="1">
                  <c:v>32.5</c:v>
                </c:pt>
                <c:pt idx="2">
                  <c:v>3.1</c:v>
                </c:pt>
                <c:pt idx="3">
                  <c:v>1.2</c:v>
                </c:pt>
                <c:pt idx="4">
                  <c:v>42.9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414965986394599E-2"/>
          <c:y val="0"/>
          <c:w val="0.92517006802721058"/>
          <c:h val="0.9597040369953764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8842728340965776E-2"/>
                  <c:y val="-5.79127786962572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374</a:t>
                    </a:r>
                    <a:r>
                      <a:rPr lang="ru-RU"/>
                      <a:t> </a:t>
                    </a:r>
                    <a:r>
                      <a:rPr lang="en-US"/>
                      <a:t>287,6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3435904193984124E-3"/>
                  <c:y val="-6.92954483892360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286</a:t>
                    </a:r>
                    <a:r>
                      <a:rPr lang="ru-RU"/>
                      <a:t> </a:t>
                    </a:r>
                    <a:r>
                      <a:rPr lang="en-US"/>
                      <a:t>179,6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01.10.2015     '!$K$33:$L$33</c:f>
              <c:numCache>
                <c:formatCode>General</c:formatCode>
                <c:ptCount val="2"/>
                <c:pt idx="0">
                  <c:v>374287.6</c:v>
                </c:pt>
                <c:pt idx="1">
                  <c:v>286179.59999999998</c:v>
                </c:pt>
              </c:numCache>
            </c:numRef>
          </c:val>
        </c:ser>
        <c:ser>
          <c:idx val="1"/>
          <c:order val="1"/>
          <c:tx>
            <c:v>ряд 2</c:v>
          </c:tx>
          <c:invertIfNegative val="0"/>
          <c:dLbls>
            <c:dLbl>
              <c:idx val="0"/>
              <c:layout>
                <c:manualLayout>
                  <c:x val="2.2172876925949145E-2"/>
                  <c:y val="-4.84228617330307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408</a:t>
                    </a:r>
                    <a:r>
                      <a:rPr lang="ru-RU"/>
                      <a:t> </a:t>
                    </a:r>
                    <a:r>
                      <a:rPr lang="en-US"/>
                      <a:t>581,7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79156371143984E-2"/>
                  <c:y val="-6.64563192946077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335</a:t>
                    </a:r>
                    <a:r>
                      <a:rPr lang="ru-RU"/>
                      <a:t> </a:t>
                    </a:r>
                    <a:r>
                      <a:rPr lang="en-US"/>
                      <a:t>242,1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01.10.2015     '!$K$34:$L$34</c:f>
              <c:numCache>
                <c:formatCode>General</c:formatCode>
                <c:ptCount val="2"/>
                <c:pt idx="0">
                  <c:v>408581.7</c:v>
                </c:pt>
                <c:pt idx="1">
                  <c:v>335242.09999999998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152960"/>
        <c:axId val="94158848"/>
        <c:axId val="0"/>
      </c:bar3DChart>
      <c:catAx>
        <c:axId val="94152960"/>
        <c:scaling>
          <c:orientation val="minMax"/>
        </c:scaling>
        <c:delete val="1"/>
        <c:axPos val="b"/>
        <c:majorTickMark val="out"/>
        <c:minorTickMark val="none"/>
        <c:tickLblPos val="none"/>
        <c:crossAx val="94158848"/>
        <c:crosses val="autoZero"/>
        <c:auto val="0"/>
        <c:lblAlgn val="ctr"/>
        <c:lblOffset val="100"/>
        <c:noMultiLvlLbl val="0"/>
      </c:catAx>
      <c:valAx>
        <c:axId val="94158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415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44329788492594E-2"/>
          <c:y val="0.30682680229173714"/>
          <c:w val="0.77190330340593893"/>
          <c:h val="0.5156696852582143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869754052028981"/>
                  <c:y val="-0.19396427586629514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Налоговые доходы
26,4%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700374640148292"/>
                  <c:y val="8.159266083957404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Неналоговые доходы
12,3%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378163080199307E-2"/>
                  <c:y val="-0.49600465959552631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61,3%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0.26400000000000001</c:v>
                </c:pt>
                <c:pt idx="1">
                  <c:v>0.12300000000000005</c:v>
                </c:pt>
                <c:pt idx="2">
                  <c:v>0.61300000000000043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9607436689424"/>
          <c:y val="0.35606126461378546"/>
          <c:w val="0.43032376838133257"/>
          <c:h val="0.28977326322292146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9463228599522661"/>
                  <c:y val="-0.19100930565497495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 на имущество</a:t>
                    </a:r>
                  </a:p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6,1%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91885430258288"/>
                  <c:y val="-0.26447001758252631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Налоги на совокупный доход
4,5%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1278806912141713E-2"/>
                  <c:y val="4.0659990316744402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Доходы от использования имущества 19,8%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105616089307364E-2"/>
                  <c:y val="0.2234776715706811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Остальные налоги и сборы 30,8%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8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 на доходы физических лиц 
38,8%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6.1</c:v>
                </c:pt>
                <c:pt idx="1">
                  <c:v>4.5</c:v>
                </c:pt>
                <c:pt idx="2">
                  <c:v>19.8</c:v>
                </c:pt>
                <c:pt idx="3">
                  <c:v>30.8</c:v>
                </c:pt>
                <c:pt idx="4">
                  <c:v>38.800000000000004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93711943725224E-2"/>
          <c:y val="1.7669392842760971E-2"/>
          <c:w val="0.91641204793767905"/>
          <c:h val="0.7833549416105253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Ритмичность!$A$24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9"/>
                <c:pt idx="0">
                  <c:v>на 01.02.2015г.</c:v>
                </c:pt>
                <c:pt idx="1">
                  <c:v>на 01.03.2015г.</c:v>
                </c:pt>
                <c:pt idx="2">
                  <c:v>на 01.04.2015г.</c:v>
                </c:pt>
                <c:pt idx="3">
                  <c:v>на 01.05.2015г.</c:v>
                </c:pt>
                <c:pt idx="4">
                  <c:v>на 01.06.2015г.</c:v>
                </c:pt>
                <c:pt idx="5">
                  <c:v>на 01.07.2015г.</c:v>
                </c:pt>
                <c:pt idx="6">
                  <c:v>на 01.08.2015г</c:v>
                </c:pt>
                <c:pt idx="7">
                  <c:v>на 01.09.2015г</c:v>
                </c:pt>
                <c:pt idx="8">
                  <c:v>на 01.10.2015г</c:v>
                </c:pt>
              </c:strCache>
            </c:strRef>
          </c:cat>
          <c:val>
            <c:numRef>
              <c:f>Ритмичность!$A$4:$A$15</c:f>
              <c:numCache>
                <c:formatCode>General</c:formatCode>
                <c:ptCount val="12"/>
                <c:pt idx="0">
                  <c:v>4898.2</c:v>
                </c:pt>
                <c:pt idx="1">
                  <c:v>1894.5</c:v>
                </c:pt>
                <c:pt idx="2">
                  <c:v>21230.6</c:v>
                </c:pt>
                <c:pt idx="3">
                  <c:v>3683.9</c:v>
                </c:pt>
                <c:pt idx="4">
                  <c:v>1157</c:v>
                </c:pt>
                <c:pt idx="5">
                  <c:v>5291.9</c:v>
                </c:pt>
                <c:pt idx="6">
                  <c:v>5147.9000000000005</c:v>
                </c:pt>
                <c:pt idx="7" formatCode="0.0">
                  <c:v>3954.9</c:v>
                </c:pt>
                <c:pt idx="8" formatCode="0.0">
                  <c:v>4395.1000000000004</c:v>
                </c:pt>
              </c:numCache>
            </c:numRef>
          </c:val>
        </c:ser>
        <c:ser>
          <c:idx val="1"/>
          <c:order val="1"/>
          <c:tx>
            <c:strRef>
              <c:f>Ритмичность!$A$25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0"/>
                      <a:t>9282,1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9"/>
                <c:pt idx="0">
                  <c:v>на 01.02.2015г.</c:v>
                </c:pt>
                <c:pt idx="1">
                  <c:v>на 01.03.2015г.</c:v>
                </c:pt>
                <c:pt idx="2">
                  <c:v>на 01.04.2015г.</c:v>
                </c:pt>
                <c:pt idx="3">
                  <c:v>на 01.05.2015г.</c:v>
                </c:pt>
                <c:pt idx="4">
                  <c:v>на 01.06.2015г.</c:v>
                </c:pt>
                <c:pt idx="5">
                  <c:v>на 01.07.2015г.</c:v>
                </c:pt>
                <c:pt idx="6">
                  <c:v>на 01.08.2015г</c:v>
                </c:pt>
                <c:pt idx="7">
                  <c:v>на 01.09.2015г</c:v>
                </c:pt>
                <c:pt idx="8">
                  <c:v>на 01.10.2015г</c:v>
                </c:pt>
              </c:strCache>
            </c:strRef>
          </c:cat>
          <c:val>
            <c:numRef>
              <c:f>Ритмичность!$B$4:$B$15</c:f>
              <c:numCache>
                <c:formatCode>General</c:formatCode>
                <c:ptCount val="12"/>
                <c:pt idx="0">
                  <c:v>11045.1</c:v>
                </c:pt>
                <c:pt idx="1">
                  <c:v>11108.9</c:v>
                </c:pt>
                <c:pt idx="2">
                  <c:v>13293.4</c:v>
                </c:pt>
                <c:pt idx="3">
                  <c:v>14479.2</c:v>
                </c:pt>
                <c:pt idx="4">
                  <c:v>10932.8</c:v>
                </c:pt>
                <c:pt idx="5">
                  <c:v>12901.8</c:v>
                </c:pt>
                <c:pt idx="6">
                  <c:v>14806.1</c:v>
                </c:pt>
                <c:pt idx="7" formatCode="0.0">
                  <c:v>11331.2</c:v>
                </c:pt>
                <c:pt idx="8" formatCode="0.0">
                  <c:v>11512.4</c:v>
                </c:pt>
              </c:numCache>
            </c:numRef>
          </c:val>
        </c:ser>
        <c:ser>
          <c:idx val="2"/>
          <c:order val="2"/>
          <c:tx>
            <c:v>на 01.08.2015г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3"/>
          <c:order val="3"/>
          <c:tx>
            <c:v>на 01.09.2015г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v>на 01.10.2015 г</c:v>
          </c:tx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496640"/>
        <c:axId val="94498176"/>
        <c:axId val="0"/>
      </c:bar3DChart>
      <c:catAx>
        <c:axId val="94496640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11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98176"/>
        <c:crosses val="autoZero"/>
        <c:auto val="1"/>
        <c:lblAlgn val="ctr"/>
        <c:lblOffset val="100"/>
        <c:noMultiLvlLbl val="0"/>
      </c:catAx>
      <c:valAx>
        <c:axId val="9449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9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39767135433781E-2"/>
          <c:y val="0.12310586176728039"/>
          <c:w val="0.81219161871253365"/>
          <c:h val="0.77735730003446535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 68,0 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64932546285013E-2"/>
                  <c:y val="0.232829061260959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7,6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123775782215369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2,7 %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610130749466686E-2"/>
                  <c:y val="-7.55634432883526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20,7 %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147756234028055E-2"/>
                  <c:y val="2.01564006473921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экономика  1,0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90488590112003E-2"/>
                  <c:y val="-1.98670688551990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мун.долга </a:t>
                    </a:r>
                    <a:r>
                      <a:rPr lang="en-US"/>
                      <a:t>0,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2285822967781202"/>
                  <c:y val="3.2200429491768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</a:t>
                    </a:r>
                    <a:r>
                      <a:rPr lang="en-US"/>
                      <a:t>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01.10.2015     '!$I$75:$I$81</c:f>
              <c:numCache>
                <c:formatCode>General</c:formatCode>
                <c:ptCount val="7"/>
                <c:pt idx="0">
                  <c:v>68</c:v>
                </c:pt>
                <c:pt idx="1">
                  <c:v>7.6</c:v>
                </c:pt>
                <c:pt idx="2">
                  <c:v>2.7</c:v>
                </c:pt>
                <c:pt idx="3">
                  <c:v>20.7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580228409786596E-2"/>
          <c:y val="2.4961461949821108E-2"/>
          <c:w val="0.90479301046273364"/>
          <c:h val="0.745978275792449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2241385376426E-3"/>
                  <c:y val="-0.146711217018925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 </a:t>
                    </a:r>
                    <a:r>
                      <a:rPr lang="en-US"/>
                      <a:t>440,3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60594034324809E-3"/>
                  <c:y val="-0.160722130128470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 </a:t>
                    </a:r>
                    <a:r>
                      <a:rPr lang="en-US"/>
                      <a:t>937,9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856163757010325E-5"/>
                  <c:y val="-0.2684832159138005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 </a:t>
                    </a:r>
                    <a:r>
                      <a:rPr lang="en-US"/>
                      <a:t>157,4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533946550666144E-17"/>
                  <c:y val="-0.318169636690150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ru-RU"/>
                      <a:t> </a:t>
                    </a:r>
                    <a:r>
                      <a:rPr lang="en-US"/>
                      <a:t>201,6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697979776656613E-3"/>
                  <c:y val="-0.154474374913662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 </a:t>
                    </a:r>
                    <a:r>
                      <a:rPr lang="en-US"/>
                      <a:t>562,7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856163757010325E-5"/>
                  <c:y val="-0.370902154672526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ru-RU"/>
                      <a:t> </a:t>
                    </a:r>
                    <a:r>
                      <a:rPr lang="en-US"/>
                      <a:t>959,9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7008984987987627E-3"/>
                  <c:y val="-0.1611487774554496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 </a:t>
                    </a:r>
                    <a:r>
                      <a:rPr lang="en-US"/>
                      <a:t>109,4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66093206372459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</a:t>
                    </a:r>
                    <a:r>
                      <a:rPr lang="en-US"/>
                      <a:t>101,4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223845006216328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ru-RU"/>
                      <a:t> </a:t>
                    </a:r>
                    <a:r>
                      <a:rPr lang="en-US"/>
                      <a:t>269,7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7218934911242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213017751479289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0.36686390532544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'на 01.10.2015     '!$E$124:$E$135</c:f>
              <c:numCache>
                <c:formatCode>mmm/yy</c:formatCode>
                <c:ptCount val="12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</c:numCache>
            </c:numRef>
          </c:cat>
          <c:val>
            <c:numRef>
              <c:f>'на 01.10.2015     '!$F$124:$F$135</c:f>
              <c:numCache>
                <c:formatCode>General</c:formatCode>
                <c:ptCount val="12"/>
                <c:pt idx="0">
                  <c:v>20440.3</c:v>
                </c:pt>
                <c:pt idx="1">
                  <c:v>18937.900000000001</c:v>
                </c:pt>
                <c:pt idx="2">
                  <c:v>38157.4</c:v>
                </c:pt>
                <c:pt idx="3">
                  <c:v>47201.599999999999</c:v>
                </c:pt>
                <c:pt idx="4">
                  <c:v>22562.7</c:v>
                </c:pt>
                <c:pt idx="5">
                  <c:v>62959.9</c:v>
                </c:pt>
                <c:pt idx="6">
                  <c:v>19109.400000000001</c:v>
                </c:pt>
                <c:pt idx="7">
                  <c:v>17101.400000000001</c:v>
                </c:pt>
                <c:pt idx="8">
                  <c:v>28269.7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8935552"/>
        <c:axId val="98937088"/>
      </c:barChart>
      <c:dateAx>
        <c:axId val="9893555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98937088"/>
        <c:crosses val="autoZero"/>
        <c:auto val="1"/>
        <c:lblOffset val="100"/>
        <c:baseTimeUnit val="months"/>
      </c:dateAx>
      <c:valAx>
        <c:axId val="9893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935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7860332202178984E-3"/>
                  <c:y val="-3.05596193854117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74905712477511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74905712477511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74905712477511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24095,1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консол'!$C$12:$I$12</c:f>
              <c:strCache>
                <c:ptCount val="7"/>
                <c:pt idx="0">
                  <c:v>на 01.01.2012</c:v>
                </c:pt>
                <c:pt idx="2">
                  <c:v>на 01.01.2013</c:v>
                </c:pt>
                <c:pt idx="4">
                  <c:v>на 01.01.2014</c:v>
                </c:pt>
                <c:pt idx="6">
                  <c:v>на 01.10.2015</c:v>
                </c:pt>
              </c:strCache>
            </c:strRef>
          </c:cat>
          <c:val>
            <c:numRef>
              <c:f>'муниципальный долг консол'!$C$11:$I$11</c:f>
              <c:numCache>
                <c:formatCode>General</c:formatCode>
                <c:ptCount val="7"/>
                <c:pt idx="0">
                  <c:v>18900</c:v>
                </c:pt>
                <c:pt idx="2">
                  <c:v>24514</c:v>
                </c:pt>
                <c:pt idx="4">
                  <c:v>20767.5</c:v>
                </c:pt>
                <c:pt idx="6">
                  <c:v>24095.1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2111616"/>
        <c:axId val="92114304"/>
      </c:barChart>
      <c:catAx>
        <c:axId val="9211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114304"/>
        <c:crosses val="autoZero"/>
        <c:auto val="1"/>
        <c:lblAlgn val="ctr"/>
        <c:lblOffset val="100"/>
        <c:noMultiLvlLbl val="0"/>
      </c:catAx>
      <c:valAx>
        <c:axId val="9211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11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6075036075036156E-2"/>
                  <c:y val="-5.455274080145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632034632034632E-2"/>
                  <c:y val="-5.1343756048430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518037518037582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075036075036156E-2"/>
                  <c:y val="-3.529883228329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518037518037582E-2"/>
                  <c:y val="-3.8507817036323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632034632034632E-2"/>
                  <c:y val="-4.1716801789350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303030303030311E-2"/>
                  <c:y val="-3.8507817036323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207995586897138E-3"/>
                  <c:y val="-3.85078395812769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290,9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916305916305916E-2"/>
                  <c:y val="-3.2089847530269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0404040404040414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075036075036156E-2"/>
                  <c:y val="-3.8507817036323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1746031746031744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303030303030311E-2"/>
                  <c:y val="-4.8134771295403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632034632034535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308802308802321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164502164502180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308802308802321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район'!$B$24:$L$24</c:f>
              <c:strCache>
                <c:ptCount val="8"/>
                <c:pt idx="1">
                  <c:v>на 01.01.2012</c:v>
                </c:pt>
                <c:pt idx="3">
                  <c:v>на 01.01.2013</c:v>
                </c:pt>
                <c:pt idx="5">
                  <c:v>на 01.01.2014</c:v>
                </c:pt>
                <c:pt idx="7">
                  <c:v>на 01.10.2015</c:v>
                </c:pt>
              </c:strCache>
            </c:strRef>
          </c:cat>
          <c:val>
            <c:numRef>
              <c:f>'муниципальный долг район'!$B$23:$L$23</c:f>
              <c:numCache>
                <c:formatCode>General</c:formatCode>
                <c:ptCount val="11"/>
                <c:pt idx="1">
                  <c:v>12900</c:v>
                </c:pt>
                <c:pt idx="3">
                  <c:v>15537</c:v>
                </c:pt>
                <c:pt idx="5">
                  <c:v>12570.4</c:v>
                </c:pt>
                <c:pt idx="7">
                  <c:v>14290.9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2126208"/>
        <c:axId val="98837248"/>
      </c:barChart>
      <c:catAx>
        <c:axId val="9212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37248"/>
        <c:crosses val="autoZero"/>
        <c:auto val="1"/>
        <c:lblAlgn val="ctr"/>
        <c:lblOffset val="100"/>
        <c:noMultiLvlLbl val="0"/>
      </c:catAx>
      <c:valAx>
        <c:axId val="9883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126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0.48738</cdr:x>
      <cdr:y>0.49951</cdr:y>
    </cdr:from>
    <cdr:to>
      <cdr:x>0.50223</cdr:x>
      <cdr:y>0.56538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0.13098</cdr:x>
      <cdr:y>0.22754</cdr:y>
    </cdr:from>
    <cdr:to>
      <cdr:x>0.20786</cdr:x>
      <cdr:y>0.36077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1257300" y="1301750"/>
          <a:ext cx="72390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0.48713</cdr:x>
      <cdr:y>0.50049</cdr:y>
    </cdr:from>
    <cdr:to>
      <cdr:x>0.50248</cdr:x>
      <cdr:y>0.56636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1DEE-C938-42D7-8D7E-29B5481F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12</Pages>
  <Words>2674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lastModifiedBy>User</cp:lastModifiedBy>
  <cp:revision>111</cp:revision>
  <cp:lastPrinted>2015-11-11T09:55:00Z</cp:lastPrinted>
  <dcterms:created xsi:type="dcterms:W3CDTF">2014-08-14T05:09:00Z</dcterms:created>
  <dcterms:modified xsi:type="dcterms:W3CDTF">2015-11-11T09:59:00Z</dcterms:modified>
</cp:coreProperties>
</file>