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drawings/drawing2.xml" ContentType="application/vnd.openxmlformats-officedocument.drawingml.chartshapes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 xml:space="preserve">Краткий анализ исполнения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5B1C1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DC355D">
        <w:rPr>
          <w:sz w:val="40"/>
          <w:szCs w:val="40"/>
        </w:rPr>
        <w:t>ию</w:t>
      </w:r>
      <w:r w:rsidR="00F44636">
        <w:rPr>
          <w:sz w:val="40"/>
          <w:szCs w:val="40"/>
        </w:rPr>
        <w:t>ля</w:t>
      </w:r>
      <w:r w:rsidRPr="007543E6">
        <w:rPr>
          <w:sz w:val="40"/>
          <w:szCs w:val="40"/>
        </w:rPr>
        <w:t xml:space="preserve"> 201</w:t>
      </w:r>
      <w:r w:rsidR="00A33587">
        <w:rPr>
          <w:sz w:val="40"/>
          <w:szCs w:val="40"/>
        </w:rPr>
        <w:t>5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FC7F83" w:rsidRPr="003F4B8C">
        <w:rPr>
          <w:b/>
          <w:bCs/>
        </w:rPr>
        <w:t>, 201</w:t>
      </w:r>
      <w:r w:rsidR="0079367F">
        <w:rPr>
          <w:b/>
          <w:bCs/>
        </w:rPr>
        <w:t>5</w:t>
      </w:r>
      <w:r w:rsidR="00B177D5">
        <w:rPr>
          <w:b/>
          <w:bCs/>
        </w:rPr>
        <w:t xml:space="preserve"> </w:t>
      </w:r>
      <w:r w:rsidR="00FC7F83" w:rsidRPr="003F4B8C">
        <w:rPr>
          <w:b/>
          <w:bCs/>
        </w:rPr>
        <w:t>г.</w:t>
      </w:r>
    </w:p>
    <w:tbl>
      <w:tblPr>
        <w:tblW w:w="21194" w:type="dxa"/>
        <w:tblInd w:w="-116" w:type="dxa"/>
        <w:tblLayout w:type="fixed"/>
        <w:tblLook w:val="00A0" w:firstRow="1" w:lastRow="0" w:firstColumn="1" w:lastColumn="0" w:noHBand="0" w:noVBand="0"/>
      </w:tblPr>
      <w:tblGrid>
        <w:gridCol w:w="213"/>
        <w:gridCol w:w="11"/>
        <w:gridCol w:w="3828"/>
        <w:gridCol w:w="141"/>
        <w:gridCol w:w="709"/>
        <w:gridCol w:w="709"/>
        <w:gridCol w:w="250"/>
        <w:gridCol w:w="175"/>
        <w:gridCol w:w="1417"/>
        <w:gridCol w:w="244"/>
        <w:gridCol w:w="1032"/>
        <w:gridCol w:w="380"/>
        <w:gridCol w:w="896"/>
        <w:gridCol w:w="234"/>
        <w:gridCol w:w="1130"/>
        <w:gridCol w:w="29"/>
        <w:gridCol w:w="24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300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lastRenderedPageBreak/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ind w:firstLine="4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8650CA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DC355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  <w:r w:rsidR="00FC7F83"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F44636"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F446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F446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43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F44636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846F13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F44636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C355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A33587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8650CA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2B6BAD" w:rsidRDefault="008650CA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8A224C" w:rsidP="0013359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273 248,2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B73E64" w:rsidP="00102E8B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  <w:r w:rsidR="008A22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558,1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8A224C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303 401,3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650CA" w:rsidRPr="00331F7B" w:rsidRDefault="008A224C" w:rsidP="003E6E7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60,8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8650CA" w:rsidRPr="00331F7B" w:rsidRDefault="008A224C" w:rsidP="00CB7B11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30 153,1</w:t>
            </w:r>
          </w:p>
        </w:tc>
      </w:tr>
      <w:tr w:rsidR="00B14031" w:rsidRPr="002B6BAD" w:rsidTr="00405379">
        <w:trPr>
          <w:gridBefore w:val="2"/>
          <w:gridAfter w:val="14"/>
          <w:wBefore w:w="224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2B6BAD" w:rsidRDefault="00B14031" w:rsidP="00B1403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D36278" w:rsidRPr="00331F7B" w:rsidRDefault="00844CC0" w:rsidP="005B1C13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266 952,4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844CC0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511 663,8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844CC0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301 695,8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4031" w:rsidRPr="00331F7B" w:rsidRDefault="00844CC0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14031" w:rsidRPr="00331F7B" w:rsidRDefault="00844CC0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34 743,4</w:t>
            </w: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1579F3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6 295,8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331F7B" w:rsidRDefault="00EB3F93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-13 105,7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B9674D" w:rsidRPr="009E3593" w:rsidRDefault="00EB3F93" w:rsidP="003E6E7A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1 705,5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1579F3" w:rsidP="0016324B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-6 295,8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EB3F93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13 105,7</w:t>
            </w:r>
            <w:r w:rsidR="009055E9">
              <w:rPr>
                <w:color w:val="00000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9E3593" w:rsidRDefault="00EB3F93" w:rsidP="003E6E7A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-1 705,5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1579F3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-6 295,8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EB3F93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8 357,6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9E3593" w:rsidRDefault="00EB3F93" w:rsidP="003E6E7A">
            <w:pPr>
              <w:spacing w:after="0"/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-1 705,5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863D67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1 801,1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405379">
        <w:trPr>
          <w:gridBefore w:val="2"/>
          <w:gridAfter w:val="14"/>
          <w:wBefore w:w="224" w:type="dxa"/>
          <w:wAfter w:w="9772" w:type="dxa"/>
          <w:trHeight w:val="1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2B6BAD" w:rsidRDefault="00FC7F83" w:rsidP="00D74DD1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731785" w:rsidP="003E6E7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F83" w:rsidRPr="00331F7B" w:rsidRDefault="00FC7F83" w:rsidP="003E6E7A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7E1E8F">
        <w:trPr>
          <w:gridBefore w:val="2"/>
          <w:gridAfter w:val="14"/>
          <w:wBefore w:w="224" w:type="dxa"/>
          <w:wAfter w:w="9772" w:type="dxa"/>
          <w:trHeight w:val="207"/>
        </w:trPr>
        <w:tc>
          <w:tcPr>
            <w:tcW w:w="11198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C7F83" w:rsidRPr="002B6BAD" w:rsidRDefault="00FC7F83" w:rsidP="00D74D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FC7F83" w:rsidRPr="00E004D5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169"/>
        </w:trPr>
        <w:tc>
          <w:tcPr>
            <w:tcW w:w="3828" w:type="dxa"/>
            <w:vMerge w:val="restart"/>
          </w:tcPr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83097D" w:rsidRPr="00405379" w:rsidTr="0083097D">
              <w:trPr>
                <w:trHeight w:val="4565"/>
              </w:trPr>
              <w:tc>
                <w:tcPr>
                  <w:tcW w:w="13440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83097D" w:rsidRPr="00BF0A4B" w:rsidRDefault="00837F49" w:rsidP="008A224C">
                  <w:pPr>
                    <w:tabs>
                      <w:tab w:val="left" w:pos="3399"/>
                      <w:tab w:val="left" w:pos="3609"/>
                    </w:tabs>
                    <w:spacing w:after="0" w:line="240" w:lineRule="auto"/>
                    <w:ind w:left="-74" w:right="9612"/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</w:pP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Консолидированный бюджет муниципального района "Забайкальский район" по доходам за 1 </w:t>
                  </w:r>
                  <w:r w:rsidR="008A224C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полугодие 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2015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год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а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исполнен в объеме </w:t>
                  </w:r>
                  <w:r w:rsidR="008A224C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303</w:t>
                  </w:r>
                  <w:r w:rsidR="00844CC0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="008A224C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401,3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тыс. руб. или на </w:t>
                  </w:r>
                  <w:r w:rsidR="008A224C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60,8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% к утвержденным бюджетным назначениям на 2015 год, что на </w:t>
                  </w:r>
                  <w:r w:rsidR="008A224C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30</w:t>
                  </w:r>
                  <w:r w:rsidR="00844CC0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="008A224C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153,1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тыс. руб. больше уровня прошлого года. Исполнение доходов по районному бюджету против уровня  2014 года увеличилось на </w:t>
                  </w:r>
                  <w:r w:rsidR="008A224C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39</w:t>
                  </w:r>
                  <w:r w:rsidR="00844CC0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="008A224C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630,4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тыс. руб. Исполнение доходов бюджетов поселений по сравнению с аналогичным периодом 2014 года наблюдается 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с </w:t>
                  </w:r>
                  <w:r w:rsidR="008A224C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уменьшением</w:t>
                  </w:r>
                  <w:r w:rsidR="00AB5E7D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на </w:t>
                  </w:r>
                  <w:r w:rsidR="008A224C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9</w:t>
                  </w:r>
                  <w:r w:rsidR="00844CC0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</w:t>
                  </w:r>
                  <w:r w:rsidR="008A224C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>477,3</w:t>
                  </w:r>
                  <w:r w:rsidRPr="00837F49">
                    <w:rPr>
                      <w:rFonts w:eastAsia="Times New Roman" w:cs="Times New Roman"/>
                      <w:i/>
                      <w:color w:val="000000"/>
                      <w:lang w:eastAsia="ru-RU"/>
                    </w:rPr>
                    <w:t xml:space="preserve"> тыс. руб.  </w:t>
                  </w:r>
                </w:p>
              </w:tc>
            </w:tr>
          </w:tbl>
          <w:p w:rsidR="00FC7F83" w:rsidRPr="00E004D5" w:rsidRDefault="00FC7F83" w:rsidP="00E50E84">
            <w:pPr>
              <w:spacing w:after="0" w:line="192" w:lineRule="auto"/>
              <w:jc w:val="both"/>
              <w:rPr>
                <w:i/>
                <w:iCs/>
              </w:rPr>
            </w:pP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E004D5" w:rsidRDefault="00FC7F83" w:rsidP="00B71D03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>Динамика объема доходов бюджетов разных уровней</w:t>
            </w:r>
          </w:p>
        </w:tc>
      </w:tr>
      <w:tr w:rsidR="00FC7F83" w:rsidRPr="002B6BAD" w:rsidTr="008A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88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FC7F83" w:rsidRPr="002B6BAD" w:rsidRDefault="008A224C" w:rsidP="00B71D03">
            <w:pPr>
              <w:spacing w:after="0" w:line="240" w:lineRule="auto"/>
              <w:ind w:hanging="108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86300" cy="30861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11198" w:type="dxa"/>
            <w:gridSpan w:val="15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FC7F83" w:rsidRPr="002B6BAD" w:rsidTr="008309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253"/>
        </w:trPr>
        <w:tc>
          <w:tcPr>
            <w:tcW w:w="3828" w:type="dxa"/>
            <w:vMerge w:val="restart"/>
          </w:tcPr>
          <w:p w:rsidR="00FC7F83" w:rsidRPr="002B6BAD" w:rsidRDefault="00D10CE5" w:rsidP="00844CC0">
            <w:pPr>
              <w:spacing w:after="0" w:line="240" w:lineRule="auto"/>
              <w:jc w:val="both"/>
              <w:rPr>
                <w:i/>
                <w:iCs/>
                <w:color w:val="000000"/>
                <w:lang w:eastAsia="ru-RU"/>
              </w:rPr>
            </w:pPr>
            <w:r w:rsidRPr="00D10CE5">
              <w:rPr>
                <w:i/>
                <w:iCs/>
                <w:color w:val="000000"/>
                <w:lang w:eastAsia="ru-RU"/>
              </w:rPr>
              <w:t>Расходы консолидированного бюджета муниципального района "Забайкальский район" за</w:t>
            </w:r>
            <w:r w:rsidR="00F44636">
              <w:rPr>
                <w:i/>
                <w:iCs/>
                <w:color w:val="000000"/>
                <w:lang w:eastAsia="ru-RU"/>
              </w:rPr>
              <w:t xml:space="preserve"> 1 </w:t>
            </w:r>
            <w:r w:rsidR="00844CC0">
              <w:rPr>
                <w:i/>
                <w:iCs/>
                <w:color w:val="000000"/>
                <w:lang w:eastAsia="ru-RU"/>
              </w:rPr>
              <w:t>полугодие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 201</w:t>
            </w:r>
            <w:r w:rsidR="00F44636">
              <w:rPr>
                <w:i/>
                <w:iCs/>
                <w:color w:val="000000"/>
                <w:lang w:eastAsia="ru-RU"/>
              </w:rPr>
              <w:t>5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год</w:t>
            </w:r>
            <w:r w:rsidR="00F44636">
              <w:rPr>
                <w:i/>
                <w:iCs/>
                <w:color w:val="000000"/>
                <w:lang w:eastAsia="ru-RU"/>
              </w:rPr>
              <w:t>а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3A5BB4">
              <w:rPr>
                <w:i/>
                <w:iCs/>
                <w:lang w:eastAsia="ru-RU"/>
              </w:rPr>
              <w:t xml:space="preserve">составили </w:t>
            </w:r>
            <w:r w:rsidR="00844CC0">
              <w:rPr>
                <w:i/>
                <w:iCs/>
                <w:lang w:eastAsia="ru-RU"/>
              </w:rPr>
              <w:t>301 695,8</w:t>
            </w:r>
            <w:r w:rsidRPr="003A5BB4">
              <w:rPr>
                <w:i/>
                <w:iCs/>
                <w:lang w:eastAsia="ru-RU"/>
              </w:rPr>
              <w:t xml:space="preserve"> тыс. рублей (</w:t>
            </w:r>
            <w:r w:rsidR="00F44636">
              <w:rPr>
                <w:i/>
                <w:iCs/>
                <w:lang w:eastAsia="ru-RU"/>
              </w:rPr>
              <w:t>11</w:t>
            </w:r>
            <w:r w:rsidR="00844CC0">
              <w:rPr>
                <w:i/>
                <w:iCs/>
                <w:lang w:eastAsia="ru-RU"/>
              </w:rPr>
              <w:t>3</w:t>
            </w:r>
            <w:r w:rsidR="00F44636">
              <w:rPr>
                <w:i/>
                <w:iCs/>
                <w:lang w:eastAsia="ru-RU"/>
              </w:rPr>
              <w:t>,0</w:t>
            </w:r>
            <w:r w:rsidRPr="003A5BB4">
              <w:rPr>
                <w:i/>
                <w:iCs/>
                <w:lang w:eastAsia="ru-RU"/>
              </w:rPr>
              <w:t xml:space="preserve"> % к уровню прошлого года), в том числе расходы по районному бюджету </w:t>
            </w:r>
            <w:r w:rsidR="00844CC0">
              <w:rPr>
                <w:i/>
                <w:iCs/>
                <w:lang w:eastAsia="ru-RU"/>
              </w:rPr>
              <w:t>251 154,8</w:t>
            </w:r>
            <w:r w:rsidRPr="003A5BB4">
              <w:rPr>
                <w:i/>
                <w:iCs/>
                <w:lang w:eastAsia="ru-RU"/>
              </w:rPr>
              <w:t xml:space="preserve"> тыс. рублей (</w:t>
            </w:r>
            <w:r w:rsidR="00F44636">
              <w:rPr>
                <w:i/>
                <w:iCs/>
                <w:lang w:eastAsia="ru-RU"/>
              </w:rPr>
              <w:t>118,</w:t>
            </w:r>
            <w:r w:rsidR="00844CC0">
              <w:rPr>
                <w:i/>
                <w:iCs/>
                <w:lang w:eastAsia="ru-RU"/>
              </w:rPr>
              <w:t>4</w:t>
            </w:r>
            <w:r w:rsidRPr="003A5BB4">
              <w:rPr>
                <w:i/>
                <w:iCs/>
                <w:lang w:eastAsia="ru-RU"/>
              </w:rPr>
              <w:t xml:space="preserve"> % к уровню прошлого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года). Объем финансирования отраслей социальной сферы составил </w:t>
            </w:r>
            <w:r w:rsidR="00844CC0">
              <w:rPr>
                <w:i/>
                <w:iCs/>
                <w:color w:val="000000"/>
                <w:lang w:eastAsia="ru-RU"/>
              </w:rPr>
              <w:t>216 114,7</w:t>
            </w:r>
            <w:r w:rsidR="00A33587">
              <w:rPr>
                <w:i/>
                <w:iCs/>
                <w:color w:val="000000"/>
                <w:lang w:eastAsia="ru-RU"/>
              </w:rPr>
              <w:t xml:space="preserve"> 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тыс. рублей, или </w:t>
            </w:r>
            <w:r w:rsidR="00844CC0">
              <w:rPr>
                <w:i/>
                <w:iCs/>
                <w:color w:val="000000"/>
                <w:lang w:eastAsia="ru-RU"/>
              </w:rPr>
              <w:t>71,6</w:t>
            </w:r>
            <w:r w:rsidRPr="00D10CE5">
              <w:rPr>
                <w:i/>
                <w:iCs/>
                <w:color w:val="000000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7370" w:type="dxa"/>
            <w:gridSpan w:val="14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Динамика объема расходов бюджетов разных уровней</w:t>
            </w:r>
          </w:p>
        </w:tc>
      </w:tr>
      <w:tr w:rsidR="00FC7F83" w:rsidRPr="002B6BAD" w:rsidTr="00844C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14"/>
          <w:wBefore w:w="224" w:type="dxa"/>
          <w:wAfter w:w="9772" w:type="dxa"/>
          <w:trHeight w:val="461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370" w:type="dxa"/>
            <w:gridSpan w:val="14"/>
          </w:tcPr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A0250D" w:rsidRDefault="00844CC0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33900" cy="2695575"/>
                  <wp:effectExtent l="0" t="1905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A0250D" w:rsidRDefault="00A0250D" w:rsidP="001E7E7A">
            <w:pPr>
              <w:spacing w:after="0" w:line="240" w:lineRule="auto"/>
              <w:rPr>
                <w:noProof/>
                <w:sz w:val="18"/>
                <w:szCs w:val="18"/>
                <w:lang w:eastAsia="ru-RU"/>
              </w:rPr>
            </w:pPr>
          </w:p>
          <w:p w:rsidR="00FC7F83" w:rsidRPr="00126CF8" w:rsidRDefault="00A0250D" w:rsidP="001E7E7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color w:val="000000"/>
                <w:sz w:val="18"/>
                <w:szCs w:val="18"/>
                <w:lang w:eastAsia="ru-RU"/>
              </w:rPr>
              <w:tab/>
              <w:t xml:space="preserve">        </w:t>
            </w:r>
            <w:r w:rsidR="00126CF8">
              <w:rPr>
                <w:noProof/>
                <w:color w:val="000000"/>
                <w:sz w:val="18"/>
                <w:szCs w:val="18"/>
                <w:lang w:eastAsia="ru-RU"/>
              </w:rPr>
              <w:t>Консолидированный бюджет                              Районный бюджет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54"/>
        </w:trPr>
        <w:tc>
          <w:tcPr>
            <w:tcW w:w="11156" w:type="dxa"/>
            <w:gridSpan w:val="14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(тыс.руб.)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3"/>
            <w:shd w:val="clear" w:color="auto" w:fill="FFFF66"/>
          </w:tcPr>
          <w:p w:rsidR="00FC7F83" w:rsidRPr="002B6BAD" w:rsidRDefault="00FC7F83" w:rsidP="007444BD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 w:rsidR="00DC355D">
              <w:rPr>
                <w:b/>
                <w:bCs/>
                <w:i/>
                <w:iCs/>
                <w:sz w:val="20"/>
                <w:szCs w:val="20"/>
              </w:rPr>
              <w:t>07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B65614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FC7F83" w:rsidRPr="00836EED" w:rsidRDefault="00FC7F83" w:rsidP="005F1420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837F49"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FC7F83" w:rsidRPr="00D91375" w:rsidRDefault="00FC7F83" w:rsidP="00DC355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 w:rsidR="00837F49">
              <w:rPr>
                <w:b/>
                <w:bCs/>
                <w:i/>
                <w:iCs/>
                <w:sz w:val="20"/>
                <w:szCs w:val="20"/>
              </w:rPr>
              <w:t>0</w:t>
            </w:r>
            <w:r w:rsidR="00DC355D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B65614">
              <w:rPr>
                <w:b/>
                <w:bCs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130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130" w:type="dxa"/>
            <w:shd w:val="clear" w:color="auto" w:fill="FFFF66"/>
          </w:tcPr>
          <w:p w:rsidR="00FC7F83" w:rsidRPr="002B6BAD" w:rsidRDefault="00FC7F83" w:rsidP="00575285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201</w:t>
            </w:r>
            <w:r w:rsidR="00837F49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201</w:t>
            </w:r>
            <w:r w:rsidR="00837F49">
              <w:rPr>
                <w:b/>
                <w:bCs/>
                <w:i/>
                <w:iCs/>
                <w:sz w:val="20"/>
                <w:szCs w:val="20"/>
              </w:rPr>
              <w:t>4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2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pStyle w:val="1"/>
              <w:spacing w:line="220" w:lineRule="exact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 xml:space="preserve">Налоговые и неналоговые доходы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A224C" w:rsidP="00C44C84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104</w:t>
            </w:r>
            <w:r w:rsidR="00844CC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679,0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76A19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209</w:t>
            </w:r>
            <w:r w:rsidR="00844CC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379,3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A224C" w:rsidP="00FF54F2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111</w:t>
            </w:r>
            <w:r w:rsidR="00844CC0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917,3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76A19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53,4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8A224C" w:rsidP="00B71D03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106,9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A224C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  <w:r w:rsidR="00844C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821,8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128</w:t>
            </w:r>
            <w:r w:rsidR="00844C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487,1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A224C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54</w:t>
            </w:r>
            <w:r w:rsidR="00844C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278,8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8A224C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113,5</w:t>
            </w:r>
          </w:p>
        </w:tc>
      </w:tr>
      <w:tr w:rsidR="00575285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285" w:rsidRPr="004146EA" w:rsidRDefault="00575285" w:rsidP="004B2E77">
            <w:pPr>
              <w:spacing w:after="0"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Default="008A224C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844C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434,1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844C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819,0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8A224C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844C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731,9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85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75285" w:rsidRPr="004146EA" w:rsidRDefault="008A224C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2,6 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4146EA" w:rsidRDefault="00FC7F83" w:rsidP="004B2E77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A224C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844C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766,1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844C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286,1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8A224C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844CC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212,2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8A224C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107,7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Налог на имущество физических лиц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8A224C" w:rsidP="00B71D03">
            <w:pPr>
              <w:spacing w:after="0" w:line="240" w:lineRule="auto"/>
              <w:jc w:val="center"/>
            </w:pPr>
            <w:r>
              <w:t>248,2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1</w:t>
            </w:r>
            <w:r w:rsidR="00844CC0">
              <w:t xml:space="preserve"> </w:t>
            </w:r>
            <w:r>
              <w:t>362,8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8A224C" w:rsidP="00B71D03">
            <w:pPr>
              <w:spacing w:after="0" w:line="240" w:lineRule="auto"/>
              <w:jc w:val="center"/>
            </w:pPr>
            <w:r>
              <w:t>266,9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19,6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8A224C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107,5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Земельный налог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6</w:t>
            </w:r>
            <w:r w:rsidR="00844CC0">
              <w:t xml:space="preserve"> </w:t>
            </w:r>
            <w:r>
              <w:t>660,1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5D3BD1">
            <w:pPr>
              <w:spacing w:after="0" w:line="240" w:lineRule="auto"/>
              <w:jc w:val="center"/>
            </w:pPr>
            <w:r>
              <w:t>13</w:t>
            </w:r>
            <w:r w:rsidR="00844CC0">
              <w:t xml:space="preserve"> </w:t>
            </w:r>
            <w:r>
              <w:t>554,7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7</w:t>
            </w:r>
            <w:r w:rsidR="00844CC0">
              <w:t xml:space="preserve"> </w:t>
            </w:r>
            <w:r>
              <w:t>598,9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56,1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114,1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22,2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310,2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63,7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20,5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2,8 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 xml:space="preserve">Государственная пошлина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990,8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1</w:t>
            </w:r>
            <w:r w:rsidR="00844CC0">
              <w:t xml:space="preserve"> </w:t>
            </w:r>
            <w:r>
              <w:t>902,0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1</w:t>
            </w:r>
            <w:r w:rsidR="000E5328">
              <w:t xml:space="preserve"> </w:t>
            </w:r>
            <w:r>
              <w:t>609,7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84,6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162,5</w:t>
            </w:r>
          </w:p>
        </w:tc>
      </w:tr>
      <w:tr w:rsidR="00915E09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09" w:rsidRPr="00CC187C" w:rsidRDefault="00915E09" w:rsidP="004B2E77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676A19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-27,6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676A19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676A19" w:rsidP="00B71D03">
            <w:pPr>
              <w:spacing w:after="0" w:line="240" w:lineRule="auto"/>
              <w:jc w:val="center"/>
            </w:pPr>
            <w:r>
              <w:t>-1,0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E09" w:rsidRPr="00CC187C" w:rsidRDefault="00676A19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5E09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  <w:r w:rsidR="000E53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727,1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2B100F">
            <w:pPr>
              <w:spacing w:after="0" w:line="240" w:lineRule="auto"/>
              <w:jc w:val="center"/>
            </w:pPr>
            <w:r>
              <w:t>33</w:t>
            </w:r>
            <w:r w:rsidR="000E5328">
              <w:t xml:space="preserve"> </w:t>
            </w:r>
            <w:r>
              <w:t>171,1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C44C84">
            <w:pPr>
              <w:spacing w:after="0" w:line="240" w:lineRule="auto"/>
              <w:jc w:val="center"/>
            </w:pPr>
            <w:r>
              <w:t>34</w:t>
            </w:r>
            <w:r w:rsidR="000E5328">
              <w:t xml:space="preserve"> </w:t>
            </w:r>
            <w:r>
              <w:t>353,4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103,6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96,1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ind w:left="35" w:hanging="35"/>
            </w:pPr>
            <w:r w:rsidRPr="00CC187C">
              <w:t>Платежи при пользовании природными ресурсами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368,4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1</w:t>
            </w:r>
            <w:r w:rsidR="000E5328">
              <w:t xml:space="preserve"> </w:t>
            </w:r>
            <w:r>
              <w:t>685,5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515,3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30,6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139,9</w:t>
            </w:r>
          </w:p>
        </w:tc>
      </w:tr>
      <w:tr w:rsidR="00961D5B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D5B" w:rsidRPr="00CC187C" w:rsidRDefault="00961D5B" w:rsidP="004B2E77">
            <w:pPr>
              <w:spacing w:after="0" w:line="220" w:lineRule="exact"/>
              <w:ind w:left="35" w:hanging="35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676A19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676A19" w:rsidP="00B71D03">
            <w:pPr>
              <w:spacing w:after="0" w:line="240" w:lineRule="auto"/>
              <w:jc w:val="center"/>
            </w:pPr>
            <w:r>
              <w:t>8,0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676A19" w:rsidP="00B71D03">
            <w:pPr>
              <w:spacing w:after="0" w:line="240" w:lineRule="auto"/>
              <w:jc w:val="center"/>
            </w:pPr>
            <w:r>
              <w:t>61,3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D5B" w:rsidRPr="00CC187C" w:rsidRDefault="00676A19" w:rsidP="00B71D03">
            <w:pPr>
              <w:spacing w:after="0" w:line="240" w:lineRule="auto"/>
              <w:jc w:val="center"/>
            </w:pPr>
            <w:r>
              <w:t xml:space="preserve">в 7,6 </w:t>
            </w:r>
            <w:proofErr w:type="gramStart"/>
            <w:r>
              <w:t>р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1D5B" w:rsidRPr="004146EA" w:rsidRDefault="00676A19" w:rsidP="00B71D03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2 </w:t>
            </w:r>
            <w:proofErr w:type="gramStart"/>
            <w:r>
              <w:rPr>
                <w:color w:val="000000" w:themeColor="text1"/>
              </w:rPr>
              <w:t>р</w:t>
            </w:r>
            <w:proofErr w:type="gramEnd"/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E53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845,1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2</w:t>
            </w:r>
            <w:r w:rsidR="000E5328">
              <w:t xml:space="preserve"> </w:t>
            </w:r>
            <w:r>
              <w:t>636,8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FF54F2">
            <w:pPr>
              <w:spacing w:after="0" w:line="240" w:lineRule="auto"/>
              <w:jc w:val="center"/>
            </w:pPr>
            <w:r>
              <w:t>1</w:t>
            </w:r>
            <w:r w:rsidR="000E5328">
              <w:t xml:space="preserve"> </w:t>
            </w:r>
            <w:r>
              <w:t>154,1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43,8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676A19" w:rsidP="00B71D03">
            <w:pPr>
              <w:spacing w:after="0" w:line="240" w:lineRule="auto"/>
              <w:jc w:val="center"/>
            </w:pPr>
            <w:r>
              <w:t>40,5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jc w:val="both"/>
            </w:pPr>
            <w:r w:rsidRPr="00CC187C">
              <w:t xml:space="preserve">Штрафы, санкции, возмещение ущерба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5D3BD1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0E53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815,8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3</w:t>
            </w:r>
            <w:r w:rsidR="000E5328">
              <w:t xml:space="preserve"> </w:t>
            </w:r>
            <w:r>
              <w:t>967,0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2</w:t>
            </w:r>
            <w:r w:rsidR="000E5328">
              <w:t xml:space="preserve"> </w:t>
            </w:r>
            <w:r>
              <w:t>049,0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51,6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676A19" w:rsidP="00B71D03">
            <w:pPr>
              <w:spacing w:after="0" w:line="240" w:lineRule="auto"/>
              <w:jc w:val="center"/>
            </w:pPr>
            <w:r>
              <w:t>72,7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Прочие неналоговые доходы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-23,0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189,0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23,1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ind w:left="-108" w:right="-108"/>
              <w:jc w:val="center"/>
            </w:pPr>
            <w:r>
              <w:t>12,2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676A19" w:rsidP="00B71D03">
            <w:pPr>
              <w:spacing w:after="0" w:line="240" w:lineRule="auto"/>
              <w:ind w:left="-108" w:right="-108"/>
              <w:jc w:val="center"/>
            </w:pPr>
            <w:r>
              <w:t>0,0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  <w:rPr>
                <w:b/>
                <w:bCs/>
              </w:rPr>
            </w:pPr>
            <w:r w:rsidRPr="00CC187C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E5490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168</w:t>
            </w:r>
            <w:r w:rsidR="000E53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569,2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</w:t>
            </w:r>
            <w:r w:rsidR="000E53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178,7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</w:t>
            </w:r>
            <w:r w:rsidR="000E53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484,0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66,2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9E549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113,6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E5490" w:rsidP="0041162D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171</w:t>
            </w:r>
            <w:r w:rsidR="000E53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474,2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291</w:t>
            </w:r>
            <w:r w:rsidR="000E5328">
              <w:t xml:space="preserve"> </w:t>
            </w:r>
            <w:r>
              <w:t>062,9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192</w:t>
            </w:r>
            <w:r w:rsidR="000E5328">
              <w:t xml:space="preserve"> </w:t>
            </w:r>
            <w:r>
              <w:t>340,2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66,1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9E5490" w:rsidP="00B71D03">
            <w:pPr>
              <w:spacing w:after="0" w:line="240" w:lineRule="auto"/>
              <w:jc w:val="center"/>
            </w:pPr>
            <w:r>
              <w:t>112,2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624232">
            <w:pPr>
              <w:spacing w:after="0" w:line="220" w:lineRule="exact"/>
            </w:pPr>
            <w:r w:rsidRPr="00CC187C">
              <w:t xml:space="preserve">Дотации </w:t>
            </w:r>
            <w:r w:rsidR="00624232" w:rsidRPr="00CC187C">
              <w:t>от других бюджетов бюджетной системы</w:t>
            </w:r>
            <w:r w:rsidRPr="00CC187C"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E5490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</w:t>
            </w:r>
            <w:r w:rsidR="000E53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127,5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35</w:t>
            </w:r>
            <w:r w:rsidR="000E5328">
              <w:t xml:space="preserve"> </w:t>
            </w:r>
            <w:r>
              <w:t>593,9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19</w:t>
            </w:r>
            <w:r w:rsidR="000E5328">
              <w:t xml:space="preserve"> </w:t>
            </w:r>
            <w:r>
              <w:t>117,3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53,7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9E5490" w:rsidP="00B71D03">
            <w:pPr>
              <w:spacing w:after="0" w:line="240" w:lineRule="auto"/>
              <w:jc w:val="center"/>
            </w:pPr>
            <w:r>
              <w:t>99,9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638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E5490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="000E53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097,3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101</w:t>
            </w:r>
            <w:r w:rsidR="000E5328">
              <w:t xml:space="preserve"> </w:t>
            </w:r>
            <w:r>
              <w:t>187,4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2</w:t>
            </w:r>
            <w:r w:rsidR="000E5328">
              <w:t xml:space="preserve"> </w:t>
            </w:r>
            <w:r>
              <w:t>070,3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20,3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9E5490" w:rsidP="00B71D03">
            <w:pPr>
              <w:spacing w:after="0" w:line="240" w:lineRule="auto"/>
              <w:jc w:val="center"/>
            </w:pPr>
            <w:r>
              <w:t>50,5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4B2E77">
            <w:pPr>
              <w:spacing w:after="0" w:line="220" w:lineRule="exact"/>
            </w:pPr>
            <w:r w:rsidRPr="00CC187C">
              <w:t xml:space="preserve">Субвенции бюджетам субъектов РФ и  муниципальных образований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E5490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148</w:t>
            </w:r>
            <w:r w:rsidR="000E53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249,4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231</w:t>
            </w:r>
            <w:r w:rsidR="000E5328">
              <w:t xml:space="preserve"> </w:t>
            </w:r>
            <w:r>
              <w:t>770,4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167</w:t>
            </w:r>
            <w:r w:rsidR="000E5328">
              <w:t xml:space="preserve"> </w:t>
            </w:r>
            <w:r>
              <w:t>781,7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72,4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9E5490" w:rsidP="00B71D03">
            <w:pPr>
              <w:spacing w:after="0" w:line="240" w:lineRule="auto"/>
              <w:jc w:val="center"/>
            </w:pPr>
            <w:r>
              <w:t>113,2</w:t>
            </w:r>
          </w:p>
        </w:tc>
      </w:tr>
      <w:tr w:rsidR="00F31A86" w:rsidRPr="002B6BAD" w:rsidTr="00F31A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8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Pr="00CC187C" w:rsidRDefault="00F31A86" w:rsidP="004B2E77">
            <w:pPr>
              <w:spacing w:after="0" w:line="220" w:lineRule="exact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6" w:rsidRDefault="009E5490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6" w:rsidRDefault="00676A19" w:rsidP="00B71D03">
            <w:pPr>
              <w:spacing w:after="0" w:line="240" w:lineRule="auto"/>
              <w:jc w:val="center"/>
            </w:pPr>
            <w:r>
              <w:t>13</w:t>
            </w:r>
            <w:r w:rsidR="000E5328">
              <w:t xml:space="preserve"> </w:t>
            </w:r>
            <w:r>
              <w:t>511,2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6" w:rsidRDefault="00676A19" w:rsidP="00B71D03">
            <w:pPr>
              <w:spacing w:after="0" w:line="240" w:lineRule="auto"/>
              <w:jc w:val="center"/>
            </w:pPr>
            <w:r>
              <w:t>3</w:t>
            </w:r>
            <w:r w:rsidR="000E5328">
              <w:t xml:space="preserve"> </w:t>
            </w:r>
            <w:r>
              <w:t>370,9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86" w:rsidRDefault="00676A19" w:rsidP="00B71D03">
            <w:pPr>
              <w:spacing w:after="0" w:line="240" w:lineRule="auto"/>
              <w:jc w:val="center"/>
            </w:pPr>
            <w:r>
              <w:t>24,9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1A86" w:rsidRDefault="009E5490" w:rsidP="00B71D0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CC187C" w:rsidRDefault="00FC7F83" w:rsidP="00D47B38">
            <w:pPr>
              <w:spacing w:after="0" w:line="220" w:lineRule="exact"/>
            </w:pPr>
            <w:r w:rsidRPr="00CC187C">
              <w:t xml:space="preserve">Прочие безвозмездные поступления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9E5490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103,8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1</w:t>
            </w:r>
            <w:r w:rsidR="000E5328">
              <w:t xml:space="preserve"> </w:t>
            </w:r>
            <w:r>
              <w:t>028,0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CC187C" w:rsidRDefault="00676A19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9E5490" w:rsidP="00AF6AA6">
            <w:pPr>
              <w:spacing w:after="0" w:line="240" w:lineRule="auto"/>
              <w:jc w:val="center"/>
            </w:pPr>
            <w:r>
              <w:t xml:space="preserve">в 9,9 </w:t>
            </w:r>
            <w:proofErr w:type="gramStart"/>
            <w:r>
              <w:t>р</w:t>
            </w:r>
            <w:proofErr w:type="gramEnd"/>
          </w:p>
        </w:tc>
      </w:tr>
      <w:tr w:rsidR="002F3FBC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BC" w:rsidRPr="00CC187C" w:rsidRDefault="002F3FBC" w:rsidP="004B2E77">
            <w:pPr>
              <w:spacing w:after="0" w:line="220" w:lineRule="exact"/>
            </w:pPr>
            <w:r w:rsidRPr="00CC187C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9E5490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9E5490" w:rsidP="00B71D03">
            <w:pPr>
              <w:spacing w:after="0" w:line="240" w:lineRule="auto"/>
              <w:jc w:val="center"/>
            </w:pPr>
            <w:r>
              <w:t>1</w:t>
            </w:r>
            <w:r w:rsidR="000E5328">
              <w:t xml:space="preserve"> </w:t>
            </w:r>
            <w:r>
              <w:t>685,5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9E5490" w:rsidP="00B71D03">
            <w:pPr>
              <w:spacing w:after="0" w:line="240" w:lineRule="auto"/>
              <w:jc w:val="center"/>
            </w:pPr>
            <w:r>
              <w:t>1</w:t>
            </w:r>
            <w:r w:rsidR="000E5328">
              <w:t xml:space="preserve"> </w:t>
            </w:r>
            <w:r>
              <w:t>685,5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FBC" w:rsidRPr="00CC187C" w:rsidRDefault="009E5490" w:rsidP="00B71D03">
            <w:pPr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F3FBC" w:rsidRPr="00B9795A" w:rsidRDefault="009E5490" w:rsidP="00B71D0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4B2E77">
            <w:pPr>
              <w:spacing w:after="0" w:line="220" w:lineRule="exact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9E5490" w:rsidP="00241FA7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</w:t>
            </w:r>
            <w:r w:rsidR="000E532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008,8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9E5490" w:rsidP="005D3BD1">
            <w:pPr>
              <w:spacing w:after="0" w:line="240" w:lineRule="auto"/>
              <w:jc w:val="center"/>
            </w:pPr>
            <w:r>
              <w:t>-3</w:t>
            </w:r>
            <w:r w:rsidR="000E5328">
              <w:t xml:space="preserve"> </w:t>
            </w:r>
            <w:r>
              <w:t>569,7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9E5490" w:rsidP="005D3BD1">
            <w:pPr>
              <w:spacing w:after="0" w:line="240" w:lineRule="auto"/>
              <w:jc w:val="center"/>
            </w:pPr>
            <w:r>
              <w:t>-3</w:t>
            </w:r>
            <w:r w:rsidR="000E5328">
              <w:t xml:space="preserve"> </w:t>
            </w:r>
            <w:r>
              <w:t>569,7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9E5490" w:rsidP="00B71D03">
            <w:pPr>
              <w:spacing w:after="0" w:line="240" w:lineRule="auto"/>
              <w:jc w:val="center"/>
            </w:pPr>
            <w:r>
              <w:t>100,0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9E5490" w:rsidP="00B71D0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C7F83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836EED" w:rsidRDefault="00676A19" w:rsidP="00C44C84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273</w:t>
            </w:r>
            <w:r w:rsidR="000E532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248,2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9E549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498</w:t>
            </w:r>
            <w:r w:rsidR="000E53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558,1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676A19" w:rsidP="00FF54F2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</w:t>
            </w:r>
            <w:r w:rsidR="000E532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401,3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F83" w:rsidRPr="00B9795A" w:rsidRDefault="009E5490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60,8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7F83" w:rsidRPr="00B9795A" w:rsidRDefault="00676A19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111,0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C7F83" w:rsidRPr="00836EED" w:rsidRDefault="00FC7F83" w:rsidP="00DC355D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Структура исполнения доходов консолидированного бюджета за </w:t>
            </w:r>
            <w:r w:rsidR="0066024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="00DC355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полугодие</w:t>
            </w:r>
            <w:r w:rsidR="0066024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201</w:t>
            </w:r>
            <w:r w:rsidR="0066024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5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66024B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FC7F83" w:rsidRPr="002B6BAD" w:rsidRDefault="00465598" w:rsidP="00DC355D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 w:rsidR="00FD448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66024B">
              <w:rPr>
                <w:b/>
                <w:bCs/>
                <w:i/>
                <w:iCs/>
                <w:sz w:val="20"/>
                <w:szCs w:val="20"/>
              </w:rPr>
              <w:t xml:space="preserve">1 </w:t>
            </w:r>
            <w:r w:rsidR="00DC355D">
              <w:rPr>
                <w:b/>
                <w:bCs/>
                <w:i/>
                <w:iCs/>
                <w:sz w:val="20"/>
                <w:szCs w:val="20"/>
              </w:rPr>
              <w:t>полугодие</w:t>
            </w:r>
            <w:r w:rsidR="0066024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66024B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66024B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FC7F83" w:rsidRPr="00836EED" w:rsidRDefault="00FC7F83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FC7F83" w:rsidRPr="002B6BAD" w:rsidTr="009E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213" w:type="dxa"/>
          <w:wAfter w:w="9825" w:type="dxa"/>
          <w:trHeight w:val="2563"/>
        </w:trPr>
        <w:tc>
          <w:tcPr>
            <w:tcW w:w="564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9E5490" w:rsidP="0066024B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314700" cy="196215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9E5490" w:rsidP="0066024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257550" cy="1962150"/>
                  <wp:effectExtent l="0" t="0" r="0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FC7F83" w:rsidRPr="002B6BAD" w:rsidTr="007E1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5"/>
          <w:wBefore w:w="213" w:type="dxa"/>
          <w:wAfter w:w="9796" w:type="dxa"/>
        </w:trPr>
        <w:tc>
          <w:tcPr>
            <w:tcW w:w="11185" w:type="dxa"/>
            <w:gridSpan w:val="15"/>
            <w:shd w:val="clear" w:color="auto" w:fill="8DB3E2"/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FC7F83" w:rsidRPr="002B6BAD" w:rsidTr="009E5490">
        <w:trPr>
          <w:trHeight w:val="840"/>
        </w:trPr>
        <w:tc>
          <w:tcPr>
            <w:tcW w:w="21194" w:type="dxa"/>
            <w:gridSpan w:val="31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9E5490" w:rsidP="00E50E84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77075" cy="2876550"/>
                  <wp:effectExtent l="0" t="0" r="0" b="0"/>
                  <wp:docPr id="12" name="Диаграмма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FC7F83" w:rsidRPr="002B6BAD" w:rsidTr="00B54E99">
        <w:trPr>
          <w:trHeight w:val="454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FC7F83" w:rsidRPr="002B6BAD" w:rsidTr="00E84186">
              <w:trPr>
                <w:trHeight w:val="29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226FD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(тыс.руб.)</w:t>
                  </w:r>
                </w:p>
              </w:tc>
            </w:tr>
            <w:tr w:rsidR="00FC7F83" w:rsidRPr="002B6BAD" w:rsidTr="00E84186">
              <w:trPr>
                <w:trHeight w:val="30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D3220" w:rsidRDefault="00FC7F83" w:rsidP="00DC355D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DC355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112121" w:rsidP="00F4463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F4463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="00FC7F83"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FC7F83" w:rsidP="00F4463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201</w:t>
                  </w:r>
                  <w:r w:rsidR="00F4463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 от 201</w:t>
                  </w:r>
                  <w:r w:rsidR="00F44636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FC7F83" w:rsidRPr="002B6BAD" w:rsidTr="00E84186">
              <w:trPr>
                <w:trHeight w:val="608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бюджетные назначения н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9D3220" w:rsidRDefault="00FC7F83" w:rsidP="00DC355D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val="en-US"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DC355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A3358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B71D03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043A3" w:rsidRPr="002B6BAD" w:rsidTr="00E84186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52 185,3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111 558,0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58 679,6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6 494,3</w:t>
                  </w:r>
                </w:p>
              </w:tc>
            </w:tr>
            <w:tr w:rsidR="004043A3" w:rsidRPr="002B6BAD" w:rsidTr="00E84186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Национальная </w:t>
                  </w:r>
                  <w:r w:rsidR="000E5328"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борон</w:t>
                  </w:r>
                  <w:r w:rsidR="000E5328">
                    <w:rPr>
                      <w:color w:val="000000"/>
                      <w:sz w:val="20"/>
                      <w:szCs w:val="20"/>
                    </w:rPr>
                    <w:t>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1 335,4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2 544,6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1 378,6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43,2</w:t>
                  </w:r>
                </w:p>
              </w:tc>
            </w:tr>
            <w:tr w:rsidR="004043A3" w:rsidRPr="002B6BAD" w:rsidTr="00E84186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3D731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н</w:t>
                  </w:r>
                  <w:r>
                    <w:rPr>
                      <w:color w:val="000000"/>
                      <w:sz w:val="20"/>
                      <w:szCs w:val="20"/>
                    </w:rPr>
                    <w:t>ая бе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опасность и правоохранительна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я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деят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е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льность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915,5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1 040,0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509,9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BE5CB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-405,6</w:t>
                  </w:r>
                </w:p>
              </w:tc>
            </w:tr>
            <w:tr w:rsidR="004043A3" w:rsidRPr="002B6BAD" w:rsidTr="00E84186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625,1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19 515,6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529,5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-95,6</w:t>
                  </w:r>
                </w:p>
              </w:tc>
            </w:tr>
            <w:tr w:rsidR="004043A3" w:rsidRPr="002B6BAD" w:rsidTr="00E84186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15 968,2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33 208,8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15 563,5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-404,7</w:t>
                  </w:r>
                </w:p>
              </w:tc>
            </w:tr>
            <w:tr w:rsidR="004043A3" w:rsidRPr="002B6BAD" w:rsidTr="00E84186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331F7B">
                    <w:rPr>
                      <w:color w:val="000000"/>
                      <w:sz w:val="20"/>
                      <w:szCs w:val="20"/>
                    </w:rPr>
                    <w:t>бразование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166 029,9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287 197,9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194 841,1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28 811,2</w:t>
                  </w:r>
                </w:p>
              </w:tc>
            </w:tr>
            <w:tr w:rsidR="004043A3" w:rsidRPr="002B6BAD" w:rsidTr="00E84186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 и кине</w:t>
                  </w:r>
                  <w:r w:rsidR="000E5328"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атография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10 150,9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19 232,9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9 001,1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-1 149,8</w:t>
                  </w:r>
                </w:p>
              </w:tc>
            </w:tr>
            <w:tr w:rsidR="004043A3" w:rsidRPr="002B6BAD" w:rsidTr="00E84186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Социальная </w:t>
                  </w:r>
                  <w:r w:rsidR="00331F7B">
                    <w:rPr>
                      <w:color w:val="000000"/>
                      <w:sz w:val="20"/>
                      <w:szCs w:val="20"/>
                    </w:rPr>
                    <w:t>политика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8 771,6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19 326,4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8 354,9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43,2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-416,7</w:t>
                  </w:r>
                </w:p>
              </w:tc>
            </w:tr>
            <w:tr w:rsidR="004043A3" w:rsidRPr="002B6BAD" w:rsidTr="00E84186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proofErr w:type="spellStart"/>
                  <w:r w:rsidR="000E5328">
                    <w:rPr>
                      <w:color w:val="000000"/>
                      <w:sz w:val="20"/>
                      <w:szCs w:val="20"/>
                    </w:rPr>
                    <w:t>и</w:t>
                  </w:r>
                  <w:r>
                    <w:rPr>
                      <w:color w:val="000000"/>
                      <w:sz w:val="20"/>
                      <w:szCs w:val="20"/>
                    </w:rPr>
                    <w:t>ческая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 культура и спорт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2 847,2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4 698,4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3 917,6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83,4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1 070,4</w:t>
                  </w:r>
                </w:p>
              </w:tc>
            </w:tr>
            <w:tr w:rsidR="004043A3" w:rsidRPr="002B6BAD" w:rsidTr="00E84186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0E5328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Средства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массовой</w:t>
                  </w:r>
                  <w:proofErr w:type="gramEnd"/>
                  <w:r w:rsidR="00E8438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информации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192,0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49,2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107,0</w:t>
                  </w:r>
                </w:p>
              </w:tc>
            </w:tr>
            <w:tr w:rsidR="004043A3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</w:t>
                  </w:r>
                  <w:r w:rsidR="003D7317">
                    <w:rPr>
                      <w:color w:val="000000"/>
                      <w:sz w:val="20"/>
                      <w:szCs w:val="20"/>
                    </w:rPr>
                    <w:t>л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уживание муници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ального долга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861,5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683,3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273,9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40,1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-587,6</w:t>
                  </w:r>
                </w:p>
              </w:tc>
            </w:tr>
            <w:tr w:rsidR="004043A3" w:rsidRPr="002B6BAD" w:rsidTr="00E84186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7 176,8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12 267,9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8 454,1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A4C41" w:rsidRDefault="000E5328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1 277,3</w:t>
                  </w:r>
                </w:p>
              </w:tc>
            </w:tr>
            <w:tr w:rsidR="004043A3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4043A3" w:rsidP="004043A3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</w:t>
                  </w:r>
                  <w:r w:rsidR="00770ED5">
                    <w:rPr>
                      <w:b/>
                      <w:bCs/>
                      <w:color w:val="000000"/>
                    </w:rPr>
                    <w:t>Г</w:t>
                  </w:r>
                  <w:r>
                    <w:rPr>
                      <w:b/>
                      <w:bCs/>
                      <w:color w:val="000000"/>
                    </w:rPr>
                    <w:cr/>
                    <w:t>О РАСХОД</w:t>
                  </w:r>
                  <w:r>
                    <w:rPr>
                      <w:b/>
                      <w:bCs/>
                      <w:color w:val="000000"/>
                    </w:rPr>
                    <w:cr/>
                  </w:r>
                  <w:r w:rsidR="000E5328">
                    <w:rPr>
                      <w:b/>
                      <w:bCs/>
                      <w:color w:val="000000"/>
                    </w:rPr>
                    <w:t>О</w:t>
                  </w:r>
                  <w:r>
                    <w:rPr>
                      <w:b/>
                      <w:bCs/>
                      <w:color w:val="000000"/>
                    </w:rPr>
                    <w:t>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266 952,4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511 663,8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301 695,8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4043A3" w:rsidRDefault="000E5328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4043A3" w:rsidRDefault="000E5328" w:rsidP="002D7F4F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34 743,4</w:t>
                  </w:r>
                </w:p>
              </w:tc>
            </w:tr>
            <w:tr w:rsidR="00FC7F83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FC7F83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Структура расходов</w:t>
                  </w:r>
                </w:p>
              </w:tc>
            </w:tr>
          </w:tbl>
          <w:p w:rsidR="005E6EAA" w:rsidRDefault="00B54E99" w:rsidP="00753E3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962775" cy="3076575"/>
                  <wp:effectExtent l="0" t="0" r="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  <w:p w:rsidR="005E6EAA" w:rsidRPr="002F73B6" w:rsidRDefault="005E6EAA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4213"/>
              <w:gridCol w:w="1404"/>
              <w:gridCol w:w="1553"/>
              <w:gridCol w:w="1549"/>
              <w:gridCol w:w="1417"/>
              <w:gridCol w:w="1091"/>
            </w:tblGrid>
            <w:tr w:rsidR="00FC7F83" w:rsidRPr="002B6BAD" w:rsidTr="00552CCE">
              <w:trPr>
                <w:trHeight w:val="337"/>
              </w:trPr>
              <w:tc>
                <w:tcPr>
                  <w:tcW w:w="1122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по кодам классификации операций сектора государственного управления (тыс.руб.</w:t>
                  </w:r>
                  <w:r w:rsidR="00714158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FC7F83" w:rsidRPr="002B6BAD" w:rsidTr="00552CCE">
              <w:trPr>
                <w:trHeight w:val="293"/>
              </w:trPr>
              <w:tc>
                <w:tcPr>
                  <w:tcW w:w="1122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7F83" w:rsidRPr="002B6BAD" w:rsidTr="00552CCE">
              <w:trPr>
                <w:trHeight w:val="259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4D264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Консолидированный бюджет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муниципального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района «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Забайкальский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 xml:space="preserve"> район»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Наименование статьи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Код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8220E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статьи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1D36C7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Уточненные бюд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жетные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назн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="001D36C7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чения на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DC355D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DC355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="00753E31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Удельный вес</w:t>
                  </w:r>
                </w:p>
              </w:tc>
            </w:tr>
            <w:tr w:rsidR="00FC7F83" w:rsidRPr="002B6BAD" w:rsidTr="00552CCE">
              <w:trPr>
                <w:trHeight w:val="510"/>
              </w:trPr>
              <w:tc>
                <w:tcPr>
                  <w:tcW w:w="4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96227" w:rsidRPr="002B6BAD" w:rsidTr="00552CCE">
              <w:trPr>
                <w:trHeight w:val="225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1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244 593,5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163 749,6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66,9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54,3</w:t>
                  </w:r>
                </w:p>
              </w:tc>
            </w:tr>
            <w:tr w:rsidR="00796227" w:rsidRPr="002B6BAD" w:rsidTr="00552CCE">
              <w:trPr>
                <w:trHeight w:val="201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Начисления на выплаты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</w:t>
                  </w:r>
                  <w:r w:rsidR="002D7F4F">
                    <w:rPr>
                      <w:color w:val="000000"/>
                      <w:sz w:val="20"/>
                      <w:szCs w:val="20"/>
                    </w:rPr>
                    <w:t>о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оплате труда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213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75 462,4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48 214,0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16,0</w:t>
                  </w:r>
                </w:p>
              </w:tc>
            </w:tr>
            <w:tr w:rsidR="00796227" w:rsidRPr="002B6BAD" w:rsidTr="00552CCE">
              <w:trPr>
                <w:trHeight w:val="147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Коммунальные услуги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</w:t>
                  </w:r>
                  <w:r w:rsidR="005E6EAA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35 795,3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23 092,3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7,7</w:t>
                  </w:r>
                </w:p>
              </w:tc>
            </w:tr>
            <w:tr w:rsidR="00796227" w:rsidRPr="002B6BAD" w:rsidTr="00552CCE">
              <w:trPr>
                <w:trHeight w:val="165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17 350,4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7 962,7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B54E99" w:rsidP="002D7F4F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45,9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2,6</w:t>
                  </w:r>
                </w:p>
              </w:tc>
            </w:tr>
            <w:tr w:rsidR="00796227" w:rsidRPr="002B6BAD" w:rsidTr="00552CCE">
              <w:trPr>
                <w:trHeight w:val="197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стоимости материальных запасов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19 473,5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10 846,7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55,7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3,6</w:t>
                  </w:r>
                </w:p>
              </w:tc>
            </w:tr>
            <w:tr w:rsidR="00796227" w:rsidRPr="002B6BAD" w:rsidTr="00552CCE">
              <w:trPr>
                <w:trHeight w:val="23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118 988,7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47 830,5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40,2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15,9</w:t>
                  </w:r>
                </w:p>
              </w:tc>
            </w:tr>
            <w:tr w:rsidR="00796227" w:rsidRPr="002B6BAD" w:rsidTr="00552CCE">
              <w:trPr>
                <w:trHeight w:val="119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796227" w:rsidP="00796227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511 663,8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301 695,8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96227" w:rsidRDefault="00B54E99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59,0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96227" w:rsidRDefault="00EB572A" w:rsidP="00796227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4D2646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Расходы по кодам классификации операций сектора </w:t>
                  </w:r>
                  <w:r w:rsidR="004D2646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государственного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 xml:space="preserve"> уп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cr/>
                  </w:r>
                  <w:r w:rsidR="008D050E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авления (тыс.руб.)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Районны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cr/>
                    <w:t xml:space="preserve"> бюджет муниципального района «Забайкальский ра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cr/>
                    <w:t>он»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  <w:t>татьи</w:t>
                  </w:r>
                </w:p>
              </w:tc>
              <w:tc>
                <w:tcPr>
                  <w:tcW w:w="140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Код статьи</w:t>
                  </w:r>
                </w:p>
              </w:tc>
              <w:tc>
                <w:tcPr>
                  <w:tcW w:w="1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Уточненные </w:t>
                  </w:r>
                  <w:r w:rsidR="009864B3"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бюджетные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  <w:t xml:space="preserve"> назначения на год</w:t>
                  </w:r>
                </w:p>
              </w:tc>
              <w:tc>
                <w:tcPr>
                  <w:tcW w:w="15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714158" w:rsidRDefault="00FC7F83" w:rsidP="00DC355D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="00DC355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EB572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Удельный вес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42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0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FC7F83" w:rsidRPr="002B6BAD" w:rsidRDefault="00FC7F83" w:rsidP="00B71D03">
                  <w:pPr>
                    <w:spacing w:after="0" w:line="240" w:lineRule="auto"/>
                    <w:rPr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Заработная плата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1</w:t>
                  </w:r>
                  <w:r w:rsidR="002D7F4F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208 044,1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142 694,8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68,6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56,8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Начисления на выплаты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по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440154"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t>плате труда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</w:t>
                  </w:r>
                  <w:r w:rsidR="005E4320">
                    <w:rPr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63 573,3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42 645,5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67,1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17,0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</w:r>
                  <w:r w:rsidR="00543795">
                    <w:rPr>
                      <w:color w:val="000000"/>
                      <w:sz w:val="20"/>
                      <w:szCs w:val="20"/>
                    </w:rPr>
                    <w:t>м</w:t>
                  </w:r>
                  <w:r>
                    <w:rPr>
                      <w:color w:val="000000"/>
                      <w:sz w:val="20"/>
                      <w:szCs w:val="20"/>
                    </w:rPr>
                    <w:t>унальны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услуги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223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31 214,2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19 485,6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62,4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7,8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2D7F4F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16 805,3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7 876,8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46,9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Увеличение стоимости 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териал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ных запасов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34</w:t>
                  </w:r>
                  <w:r w:rsidR="006E336C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15 343,7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6 826,0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44,5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2,7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Прочи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75 474,1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31 626,1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41,9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12,6</w:t>
                  </w:r>
                </w:p>
              </w:tc>
            </w:tr>
            <w:tr w:rsidR="007337BB" w:rsidRPr="002B6BAD" w:rsidTr="00552CCE">
              <w:trPr>
                <w:trHeight w:val="300"/>
              </w:trPr>
              <w:tc>
                <w:tcPr>
                  <w:tcW w:w="42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7337BB" w:rsidP="007337BB">
                  <w:pPr>
                    <w:spacing w:after="0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410 454,7</w:t>
                  </w:r>
                </w:p>
              </w:tc>
              <w:tc>
                <w:tcPr>
                  <w:tcW w:w="15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251 154,8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7337BB" w:rsidRDefault="00B54E99" w:rsidP="007337BB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61,2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7337BB" w:rsidRDefault="00440154" w:rsidP="00440154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100,0</w:t>
                  </w:r>
                </w:p>
              </w:tc>
            </w:tr>
            <w:tr w:rsidR="00FC7F83" w:rsidRPr="002B6BAD" w:rsidTr="00552CCE">
              <w:trPr>
                <w:trHeight w:val="300"/>
              </w:trPr>
              <w:tc>
                <w:tcPr>
                  <w:tcW w:w="112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FC7F83" w:rsidRPr="002B6BAD" w:rsidRDefault="00FC7F83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(тыс.руб.)</w:t>
                  </w:r>
                </w:p>
              </w:tc>
            </w:tr>
          </w:tbl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FC7F83" w:rsidRPr="002B6BAD" w:rsidTr="007E1E8F">
        <w:trPr>
          <w:trHeight w:val="300"/>
        </w:trPr>
        <w:tc>
          <w:tcPr>
            <w:tcW w:w="11511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C7F83" w:rsidRPr="007172F5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FC7F83" w:rsidRDefault="00B54E99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15175" cy="35623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6324B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714158">
        <w:rPr>
          <w:color w:val="000000"/>
          <w:lang w:eastAsia="ru-RU"/>
        </w:rPr>
        <w:t>за</w:t>
      </w:r>
      <w:r w:rsidR="00F91317">
        <w:rPr>
          <w:color w:val="000000"/>
          <w:lang w:eastAsia="ru-RU"/>
        </w:rPr>
        <w:t xml:space="preserve"> 1 </w:t>
      </w:r>
      <w:r w:rsidR="00B54E99">
        <w:rPr>
          <w:color w:val="000000"/>
          <w:lang w:eastAsia="ru-RU"/>
        </w:rPr>
        <w:t>полугодие</w:t>
      </w:r>
      <w:r w:rsidR="00F91317">
        <w:rPr>
          <w:color w:val="000000"/>
          <w:lang w:eastAsia="ru-RU"/>
        </w:rPr>
        <w:t xml:space="preserve"> </w:t>
      </w:r>
      <w:r w:rsidR="00714158">
        <w:rPr>
          <w:color w:val="000000"/>
          <w:lang w:eastAsia="ru-RU"/>
        </w:rPr>
        <w:t xml:space="preserve"> </w:t>
      </w:r>
      <w:r w:rsidRPr="005127CE">
        <w:rPr>
          <w:color w:val="000000"/>
          <w:lang w:eastAsia="ru-RU"/>
        </w:rPr>
        <w:t>201</w:t>
      </w:r>
      <w:r w:rsidR="00F91317">
        <w:rPr>
          <w:color w:val="000000"/>
          <w:lang w:eastAsia="ru-RU"/>
        </w:rPr>
        <w:t>5</w:t>
      </w:r>
      <w:r w:rsidRPr="005127CE">
        <w:rPr>
          <w:color w:val="000000"/>
          <w:lang w:eastAsia="ru-RU"/>
        </w:rPr>
        <w:t xml:space="preserve"> год направлено </w:t>
      </w:r>
      <w:r w:rsidR="00B54E99">
        <w:rPr>
          <w:color w:val="000000"/>
          <w:lang w:eastAsia="ru-RU"/>
        </w:rPr>
        <w:t>211 963,6</w:t>
      </w:r>
      <w:r w:rsidRPr="005127CE">
        <w:rPr>
          <w:color w:val="000000"/>
          <w:lang w:eastAsia="ru-RU"/>
        </w:rPr>
        <w:t xml:space="preserve"> рублей (</w:t>
      </w:r>
      <w:proofErr w:type="spellStart"/>
      <w:r w:rsidRPr="005127CE">
        <w:rPr>
          <w:color w:val="000000"/>
          <w:lang w:eastAsia="ru-RU"/>
        </w:rPr>
        <w:t>справочно</w:t>
      </w:r>
      <w:proofErr w:type="spellEnd"/>
      <w:r w:rsidRPr="005127CE">
        <w:rPr>
          <w:color w:val="000000"/>
          <w:lang w:eastAsia="ru-RU"/>
        </w:rPr>
        <w:t xml:space="preserve">: </w:t>
      </w:r>
      <w:r w:rsidR="00B54E99">
        <w:rPr>
          <w:color w:val="000000"/>
          <w:lang w:eastAsia="ru-RU"/>
        </w:rPr>
        <w:t>182 340,9</w:t>
      </w:r>
      <w:r w:rsidRPr="005127CE">
        <w:rPr>
          <w:color w:val="000000"/>
          <w:lang w:eastAsia="ru-RU"/>
        </w:rPr>
        <w:t xml:space="preserve"> тыс. рублей </w:t>
      </w:r>
      <w:r w:rsidR="00714158">
        <w:rPr>
          <w:color w:val="000000"/>
          <w:lang w:eastAsia="ru-RU"/>
        </w:rPr>
        <w:t xml:space="preserve">за </w:t>
      </w:r>
      <w:r w:rsidR="00F91317">
        <w:rPr>
          <w:color w:val="000000"/>
          <w:lang w:eastAsia="ru-RU"/>
        </w:rPr>
        <w:t xml:space="preserve">1 </w:t>
      </w:r>
      <w:r w:rsidR="00B54E99">
        <w:rPr>
          <w:color w:val="000000"/>
          <w:lang w:eastAsia="ru-RU"/>
        </w:rPr>
        <w:t xml:space="preserve">полугодие </w:t>
      </w:r>
      <w:r w:rsidR="00F91317">
        <w:rPr>
          <w:color w:val="000000"/>
          <w:lang w:eastAsia="ru-RU"/>
        </w:rPr>
        <w:t xml:space="preserve"> </w:t>
      </w:r>
      <w:r w:rsidRPr="005127CE">
        <w:rPr>
          <w:color w:val="000000"/>
          <w:lang w:eastAsia="ru-RU"/>
        </w:rPr>
        <w:t>201</w:t>
      </w:r>
      <w:r w:rsidR="00F91317">
        <w:rPr>
          <w:color w:val="000000"/>
          <w:lang w:eastAsia="ru-RU"/>
        </w:rPr>
        <w:t>4</w:t>
      </w:r>
      <w:r w:rsidRPr="005127CE">
        <w:rPr>
          <w:color w:val="000000"/>
          <w:lang w:eastAsia="ru-RU"/>
        </w:rPr>
        <w:t xml:space="preserve"> год</w:t>
      </w:r>
      <w:r w:rsidR="00F91317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>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C52D54">
        <w:rPr>
          <w:color w:val="000000"/>
          <w:lang w:eastAsia="ru-RU"/>
        </w:rPr>
        <w:t>0</w:t>
      </w:r>
      <w:r w:rsidR="00B54E99">
        <w:rPr>
          <w:color w:val="000000"/>
          <w:lang w:eastAsia="ru-RU"/>
        </w:rPr>
        <w:t>7</w:t>
      </w:r>
      <w:r w:rsidRPr="005127CE">
        <w:rPr>
          <w:color w:val="000000"/>
          <w:lang w:eastAsia="ru-RU"/>
        </w:rPr>
        <w:t>.201</w:t>
      </w:r>
      <w:r w:rsidR="00C52D54">
        <w:rPr>
          <w:color w:val="000000"/>
          <w:lang w:eastAsia="ru-RU"/>
        </w:rPr>
        <w:t>5</w:t>
      </w:r>
      <w:r w:rsidR="00543795">
        <w:rPr>
          <w:color w:val="000000"/>
          <w:lang w:eastAsia="ru-RU"/>
        </w:rPr>
        <w:t xml:space="preserve"> года </w:t>
      </w:r>
      <w:r w:rsidR="00BE5CBA">
        <w:rPr>
          <w:color w:val="000000"/>
          <w:lang w:eastAsia="ru-RU"/>
        </w:rPr>
        <w:t>составляет</w:t>
      </w:r>
      <w:r w:rsidR="00543795">
        <w:rPr>
          <w:color w:val="000000"/>
          <w:lang w:eastAsia="ru-RU"/>
        </w:rPr>
        <w:t xml:space="preserve"> </w:t>
      </w:r>
      <w:r w:rsidR="00D536E6">
        <w:rPr>
          <w:color w:val="000000"/>
          <w:lang w:eastAsia="ru-RU"/>
        </w:rPr>
        <w:t xml:space="preserve"> </w:t>
      </w:r>
      <w:r w:rsidR="00B54E99">
        <w:rPr>
          <w:color w:val="000000"/>
          <w:lang w:eastAsia="ru-RU"/>
        </w:rPr>
        <w:t>2 930,7</w:t>
      </w:r>
      <w:r w:rsidR="00BE5CBA">
        <w:rPr>
          <w:color w:val="000000"/>
          <w:lang w:eastAsia="ru-RU"/>
        </w:rPr>
        <w:t xml:space="preserve"> тыс. рублей</w:t>
      </w:r>
      <w:r w:rsidRPr="005127CE">
        <w:rPr>
          <w:color w:val="000000"/>
          <w:lang w:eastAsia="ru-RU"/>
        </w:rPr>
        <w:t>.</w:t>
      </w:r>
    </w:p>
    <w:p w:rsidR="00F91317" w:rsidRDefault="00F91317" w:rsidP="00B71D03">
      <w:pPr>
        <w:spacing w:line="240" w:lineRule="auto"/>
        <w:rPr>
          <w:color w:val="000000"/>
          <w:lang w:eastAsia="ru-RU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37"/>
        <w:gridCol w:w="851"/>
        <w:gridCol w:w="709"/>
        <w:gridCol w:w="850"/>
        <w:gridCol w:w="425"/>
        <w:gridCol w:w="851"/>
        <w:gridCol w:w="425"/>
        <w:gridCol w:w="851"/>
      </w:tblGrid>
      <w:tr w:rsidR="00FC7F83" w:rsidRPr="002B6BAD" w:rsidTr="00212341">
        <w:trPr>
          <w:trHeight w:val="990"/>
        </w:trPr>
        <w:tc>
          <w:tcPr>
            <w:tcW w:w="11199" w:type="dxa"/>
            <w:gridSpan w:val="8"/>
            <w:shd w:val="clear" w:color="auto" w:fill="8DB3E2"/>
            <w:noWrap/>
            <w:vAlign w:val="bottom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Динамика просроченной задолженности консолидированного бюджета муниципального района «Забайка</w:t>
            </w:r>
            <w:r w:rsidR="009864B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льский район» по состоянию на</w:t>
            </w:r>
            <w:r w:rsidR="006E549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01.0</w:t>
            </w:r>
            <w:r w:rsidR="006E5491" w:rsidRPr="006E5491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7</w:t>
            </w:r>
            <w:r w:rsidR="00461B9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.2015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FC7F83" w:rsidRPr="00226FD1" w:rsidRDefault="00FC7F83" w:rsidP="00B71D0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14112" w:rsidRPr="00226FD1" w:rsidTr="00212341">
        <w:trPr>
          <w:cantSplit/>
          <w:trHeight w:val="1185"/>
        </w:trPr>
        <w:tc>
          <w:tcPr>
            <w:tcW w:w="6237" w:type="dxa"/>
            <w:shd w:val="clear" w:color="auto" w:fill="FFFF66"/>
            <w:noWrap/>
            <w:vAlign w:val="bottom"/>
          </w:tcPr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01.01.2011</w:t>
            </w:r>
          </w:p>
        </w:tc>
        <w:tc>
          <w:tcPr>
            <w:tcW w:w="709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на01.01.2012</w:t>
            </w:r>
          </w:p>
        </w:tc>
        <w:tc>
          <w:tcPr>
            <w:tcW w:w="850" w:type="dxa"/>
            <w:shd w:val="clear" w:color="auto" w:fill="FFFF66"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 w:rsidR="004D2646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01.01.2011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 w:rsidR="004D2646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01.01.2012</w:t>
            </w:r>
          </w:p>
        </w:tc>
        <w:tc>
          <w:tcPr>
            <w:tcW w:w="425" w:type="dxa"/>
            <w:shd w:val="clear" w:color="auto" w:fill="FFFF66"/>
            <w:noWrap/>
            <w:textDirection w:val="btLr"/>
            <w:vAlign w:val="bottom"/>
          </w:tcPr>
          <w:p w:rsidR="00314112" w:rsidRPr="00287C91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val="en-US"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 w:rsidR="00DC355D">
              <w:rPr>
                <w:rFonts w:asciiTheme="minorHAnsi" w:hAnsiTheme="minorHAnsi"/>
                <w:b/>
                <w:bCs/>
                <w:sz w:val="16"/>
                <w:szCs w:val="16"/>
                <w:lang w:val="en-US" w:eastAsia="ru-RU"/>
              </w:rPr>
              <w:t>0</w:t>
            </w:r>
            <w:r w:rsidR="00DC355D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7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287C91">
              <w:rPr>
                <w:rFonts w:asciiTheme="minorHAnsi" w:hAnsiTheme="minorHAnsi"/>
                <w:b/>
                <w:bCs/>
                <w:sz w:val="16"/>
                <w:szCs w:val="16"/>
                <w:lang w:val="en-US" w:eastAsia="ru-RU"/>
              </w:rPr>
              <w:t>5</w:t>
            </w:r>
          </w:p>
        </w:tc>
        <w:tc>
          <w:tcPr>
            <w:tcW w:w="851" w:type="dxa"/>
            <w:shd w:val="clear" w:color="auto" w:fill="FFFF66"/>
            <w:textDirection w:val="btLr"/>
            <w:vAlign w:val="bottom"/>
          </w:tcPr>
          <w:p w:rsidR="00314112" w:rsidRPr="00D86000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+),снижение (-) с 01.0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3</w:t>
            </w:r>
          </w:p>
        </w:tc>
      </w:tr>
      <w:tr w:rsidR="00314112" w:rsidRPr="000915CB" w:rsidTr="00212341">
        <w:trPr>
          <w:trHeight w:val="640"/>
        </w:trPr>
        <w:tc>
          <w:tcPr>
            <w:tcW w:w="6237" w:type="dxa"/>
            <w:noWrap/>
            <w:vAlign w:val="center"/>
          </w:tcPr>
          <w:p w:rsidR="00314112" w:rsidRPr="00D86000" w:rsidRDefault="00314112" w:rsidP="002123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4612,8</w:t>
            </w:r>
          </w:p>
        </w:tc>
        <w:tc>
          <w:tcPr>
            <w:tcW w:w="709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693,5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-3919,3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 w:rsidRPr="00D86000">
              <w:rPr>
                <w:rFonts w:asciiTheme="minorHAnsi" w:hAnsiTheme="minorHAnsi" w:cs="Arial CYR"/>
                <w:sz w:val="18"/>
                <w:szCs w:val="18"/>
              </w:rPr>
              <w:t>-693,5</w:t>
            </w:r>
          </w:p>
        </w:tc>
        <w:tc>
          <w:tcPr>
            <w:tcW w:w="425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314112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8DB3E2"/>
          </w:tcPr>
          <w:p w:rsidR="00FC7F83" w:rsidRPr="00B71D03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 w:rsidRPr="002B6BAD">
              <w:rPr>
                <w:b/>
                <w:bCs/>
                <w:i/>
                <w:iCs/>
                <w:sz w:val="32"/>
                <w:szCs w:val="32"/>
              </w:rPr>
              <w:t>ОБЪЕМ МУНИЦИПАЛЬНОГО ДОЛГА</w:t>
            </w:r>
          </w:p>
          <w:p w:rsidR="00FC7F83" w:rsidRPr="002B6BAD" w:rsidRDefault="00FC7F83" w:rsidP="00B71D03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FC7F83" w:rsidRPr="002B6BAD" w:rsidTr="000C4D19">
        <w:tc>
          <w:tcPr>
            <w:tcW w:w="11199" w:type="dxa"/>
            <w:gridSpan w:val="8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 w:rsidRPr="002B6BAD">
              <w:rPr>
                <w:b/>
                <w:bCs/>
                <w:i/>
                <w:iCs/>
              </w:rPr>
              <w:t>КОНСОЛИДИРОВАННЫЙ  БЮДЖЕТ</w:t>
            </w:r>
          </w:p>
        </w:tc>
      </w:tr>
    </w:tbl>
    <w:p w:rsidR="00FC7F83" w:rsidRDefault="00155CF7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7110730" cy="2915285"/>
            <wp:effectExtent l="19050" t="0" r="1397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F230E" w:rsidRDefault="004F230E" w:rsidP="00B71D03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lang w:eastAsia="ru-RU"/>
              </w:rPr>
            </w:pPr>
            <w:r w:rsidRPr="002B6BAD">
              <w:rPr>
                <w:b/>
                <w:bCs/>
                <w:i/>
                <w:iCs/>
                <w:lang w:eastAsia="ru-RU"/>
              </w:rPr>
              <w:t>РАЙОННЫЙ БЮДЖЕТ</w:t>
            </w:r>
          </w:p>
        </w:tc>
      </w:tr>
    </w:tbl>
    <w:p w:rsidR="00FC7F83" w:rsidRDefault="00155CF7" w:rsidP="004F230E">
      <w:pPr>
        <w:spacing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10730" cy="3267075"/>
            <wp:effectExtent l="0" t="0" r="13970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763D8B" w:rsidRDefault="00763D8B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tbl>
      <w:tblPr>
        <w:tblW w:w="11272" w:type="dxa"/>
        <w:tblInd w:w="108" w:type="dxa"/>
        <w:tblLook w:val="00A0" w:firstRow="1" w:lastRow="0" w:firstColumn="1" w:lastColumn="0" w:noHBand="0" w:noVBand="0"/>
      </w:tblPr>
      <w:tblGrid>
        <w:gridCol w:w="6864"/>
        <w:gridCol w:w="1695"/>
        <w:gridCol w:w="1365"/>
        <w:gridCol w:w="1348"/>
      </w:tblGrid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Реализация </w:t>
            </w:r>
            <w:r w:rsidR="00174684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мероприятий в рамках 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программ (тыс.руб.)</w:t>
            </w:r>
          </w:p>
        </w:tc>
      </w:tr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635AD4">
        <w:trPr>
          <w:trHeight w:val="312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92046C" w:rsidRDefault="00FC7F83" w:rsidP="00F91317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C355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635AD4">
        <w:trPr>
          <w:trHeight w:val="687"/>
        </w:trPr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2B6BAD" w:rsidTr="00635AD4">
        <w:trPr>
          <w:trHeight w:val="59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635AD4" w:rsidP="00635AD4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635AD4">
              <w:rPr>
                <w:rFonts w:cs="Times New Roman"/>
                <w:color w:val="000000"/>
                <w:sz w:val="24"/>
                <w:szCs w:val="24"/>
                <w:lang w:eastAsia="ru-RU"/>
              </w:rPr>
              <w:t>Мероприятия по развитию</w:t>
            </w:r>
            <w:r w:rsidR="00174684" w:rsidRPr="00635AD4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технического оснащения и телекоммуникационной инфраструктуры</w:t>
            </w:r>
            <w:r w:rsidRPr="00635AD4">
              <w:rPr>
                <w:rFonts w:cs="Times New Roman"/>
                <w:color w:val="000000"/>
                <w:sz w:val="24"/>
                <w:szCs w:val="24"/>
                <w:lang w:eastAsia="ru-RU"/>
              </w:rPr>
              <w:t>, развитие программного комплекса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300</w:t>
            </w:r>
            <w:r w:rsidR="00D536E6" w:rsidRPr="00635A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75,8</w:t>
            </w:r>
          </w:p>
        </w:tc>
      </w:tr>
      <w:tr w:rsidR="00C94E67" w:rsidRPr="002B6BAD" w:rsidTr="00635AD4">
        <w:trPr>
          <w:trHeight w:val="57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проведению оздоровительной кампании детей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87,2</w:t>
            </w:r>
          </w:p>
        </w:tc>
      </w:tr>
      <w:tr w:rsidR="00C94E67" w:rsidRPr="002B6BAD" w:rsidTr="00635AD4">
        <w:trPr>
          <w:trHeight w:val="5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обеспечению экологической безопасности окружающей среды и населения при обращении с отходами производства и потребления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24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174684" w:rsidP="006B2AC8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поддержки и развитию агропромышленного комплекса муниципального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17468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174684" w:rsidP="00AA26EF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строительству и ремонту объектов для захоронения и утилизации биологических отходов на территории муниципального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F91317" w:rsidP="00F9131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135</w:t>
            </w:r>
            <w:r w:rsidR="0083145B" w:rsidRPr="00635A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8,9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635AD4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35AD4">
              <w:rPr>
                <w:color w:val="000000"/>
                <w:sz w:val="24"/>
                <w:szCs w:val="24"/>
              </w:rPr>
              <w:t xml:space="preserve"> направленные на обеспечение бесплатным питанием детей из малоимущих семей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228,3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38,1</w:t>
            </w:r>
          </w:p>
        </w:tc>
      </w:tr>
      <w:tr w:rsidR="00C94E67" w:rsidRPr="002B6BAD" w:rsidTr="00635AD4">
        <w:trPr>
          <w:trHeight w:val="20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F91317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635AD4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35AD4">
              <w:rPr>
                <w:color w:val="000000"/>
                <w:sz w:val="24"/>
                <w:szCs w:val="24"/>
              </w:rPr>
              <w:t xml:space="preserve"> </w:t>
            </w:r>
            <w:r w:rsidR="00F91317" w:rsidRPr="00635AD4">
              <w:rPr>
                <w:color w:val="000000"/>
                <w:sz w:val="24"/>
                <w:szCs w:val="24"/>
              </w:rPr>
              <w:t>направленные на улучшение условий охраны труда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C94E67" w:rsidRPr="002B6BAD" w:rsidTr="00635AD4">
        <w:trPr>
          <w:trHeight w:val="4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C94E67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Субсидия на предоставление молодым семьям социальных выплат на приобретение жилья или строительство индивидуального жилого дома</w:t>
            </w:r>
            <w:r w:rsidR="00C15B78" w:rsidRPr="00635AD4">
              <w:rPr>
                <w:color w:val="000000"/>
                <w:sz w:val="24"/>
                <w:szCs w:val="24"/>
              </w:rPr>
              <w:t xml:space="preserve"> из местного бюджета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C52D5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83145B" w:rsidP="00AA26EF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Реализация мероприятий на обеспечение доступности объектов и услуг для инвалидов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8</w:t>
            </w:r>
            <w:r w:rsidR="0083145B"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83145B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5B78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F91317" w:rsidP="00AA26EF">
            <w:pPr>
              <w:spacing w:after="0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Субсидии социально ориентированным некоммерческим</w:t>
            </w:r>
            <w:r w:rsidR="00635AD4" w:rsidRPr="00635AD4">
              <w:rPr>
                <w:color w:val="000000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635AD4" w:rsidRDefault="00635AD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635AD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15B78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635AD4" w:rsidP="00AA26EF">
            <w:pPr>
              <w:spacing w:after="0"/>
              <w:rPr>
                <w:color w:val="000000"/>
                <w:sz w:val="24"/>
                <w:szCs w:val="24"/>
              </w:rPr>
            </w:pPr>
            <w:proofErr w:type="gramStart"/>
            <w:r w:rsidRPr="00635AD4">
              <w:rPr>
                <w:color w:val="000000"/>
                <w:sz w:val="24"/>
                <w:szCs w:val="24"/>
              </w:rPr>
              <w:t>Мероприятия</w:t>
            </w:r>
            <w:proofErr w:type="gramEnd"/>
            <w:r w:rsidRPr="00635AD4">
              <w:rPr>
                <w:color w:val="000000"/>
                <w:sz w:val="24"/>
                <w:szCs w:val="24"/>
              </w:rPr>
              <w:t xml:space="preserve"> направленные на техническую укрепленность зданий и оснащение мебелью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6 546,3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2478,9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635AD4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37,9</w:t>
            </w:r>
          </w:p>
        </w:tc>
      </w:tr>
      <w:tr w:rsidR="00326623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Pr="00635AD4" w:rsidRDefault="00326623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устойчивому развитию сельских территорий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26623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Default="00326623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модернизации объектов коммунальной инфраструктуры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3 245,5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26623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Default="00326623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доступности объектов и услуг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Default="00326623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FC7F83" w:rsidRDefault="00FC7F83" w:rsidP="00B71D03">
      <w:pPr>
        <w:spacing w:line="240" w:lineRule="auto"/>
      </w:pPr>
    </w:p>
    <w:p w:rsidR="00635AD4" w:rsidRDefault="00635AD4" w:rsidP="00B71D03">
      <w:pPr>
        <w:spacing w:line="240" w:lineRule="auto"/>
      </w:pPr>
    </w:p>
    <w:p w:rsidR="00635AD4" w:rsidRDefault="00635AD4" w:rsidP="00B71D03">
      <w:pPr>
        <w:spacing w:line="240" w:lineRule="auto"/>
      </w:pPr>
    </w:p>
    <w:p w:rsidR="00C15B78" w:rsidRDefault="00C15B78" w:rsidP="00B71D03">
      <w:pPr>
        <w:spacing w:line="240" w:lineRule="auto"/>
      </w:pPr>
    </w:p>
    <w:p w:rsidR="00C15B78" w:rsidRDefault="00C15B78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p w:rsidR="00763D8B" w:rsidRDefault="00763D8B" w:rsidP="00B71D03">
      <w:pPr>
        <w:spacing w:line="240" w:lineRule="auto"/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1306"/>
        <w:gridCol w:w="1276"/>
        <w:gridCol w:w="1883"/>
        <w:gridCol w:w="1284"/>
        <w:gridCol w:w="497"/>
        <w:gridCol w:w="830"/>
        <w:gridCol w:w="716"/>
        <w:gridCol w:w="1168"/>
      </w:tblGrid>
      <w:tr w:rsidR="00FC7F83" w:rsidRPr="002B6BAD" w:rsidTr="00552CCE">
        <w:trPr>
          <w:trHeight w:val="300"/>
        </w:trPr>
        <w:tc>
          <w:tcPr>
            <w:tcW w:w="11198" w:type="dxa"/>
            <w:gridSpan w:val="9"/>
            <w:vMerge w:val="restart"/>
            <w:shd w:val="clear" w:color="auto" w:fill="8DB3E2"/>
            <w:vAlign w:val="center"/>
          </w:tcPr>
          <w:p w:rsidR="00FC7F83" w:rsidRPr="00B71D03" w:rsidRDefault="004F230E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оказатели исполнения районного бюджета муниципального района «Забайкальский </w:t>
            </w:r>
            <w:r w:rsidR="004D2646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район» (</w:t>
            </w:r>
            <w:r w:rsidR="00FC7F83" w:rsidRPr="00B71D03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тыс.руб.)</w:t>
            </w:r>
          </w:p>
        </w:tc>
      </w:tr>
      <w:tr w:rsidR="00FC7F83" w:rsidRPr="002B6BAD" w:rsidTr="00552CCE">
        <w:trPr>
          <w:trHeight w:val="293"/>
        </w:trPr>
        <w:tc>
          <w:tcPr>
            <w:tcW w:w="11198" w:type="dxa"/>
            <w:gridSpan w:val="9"/>
            <w:vMerge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F17144">
        <w:trPr>
          <w:trHeight w:val="79"/>
        </w:trPr>
        <w:tc>
          <w:tcPr>
            <w:tcW w:w="3544" w:type="dxa"/>
            <w:gridSpan w:val="2"/>
            <w:vMerge w:val="restart"/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shd w:val="clear" w:color="auto" w:fill="FFFF66"/>
            <w:vAlign w:val="center"/>
          </w:tcPr>
          <w:p w:rsidR="00FC7F83" w:rsidRPr="002B6BAD" w:rsidRDefault="00FC7F83" w:rsidP="00635AD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C355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94" w:type="dxa"/>
            <w:gridSpan w:val="4"/>
            <w:shd w:val="clear" w:color="auto" w:fill="FFFF66"/>
            <w:vAlign w:val="center"/>
          </w:tcPr>
          <w:p w:rsidR="00FC7F83" w:rsidRPr="002B6BAD" w:rsidRDefault="00FC7F83" w:rsidP="00635AD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635AD4">
              <w:rPr>
                <w:b/>
                <w:bCs/>
                <w:i/>
                <w:iCs/>
                <w:color w:val="00000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884" w:type="dxa"/>
            <w:gridSpan w:val="2"/>
            <w:vMerge w:val="restart"/>
            <w:shd w:val="clear" w:color="auto" w:fill="FFFF66"/>
            <w:vAlign w:val="center"/>
          </w:tcPr>
          <w:p w:rsidR="00FC7F83" w:rsidRPr="002B6BAD" w:rsidRDefault="00FC7F83" w:rsidP="00C349E9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C349E9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C349E9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F17144">
        <w:trPr>
          <w:trHeight w:val="481"/>
        </w:trPr>
        <w:tc>
          <w:tcPr>
            <w:tcW w:w="3544" w:type="dxa"/>
            <w:gridSpan w:val="2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284" w:type="dxa"/>
            <w:shd w:val="clear" w:color="auto" w:fill="FFFF66"/>
            <w:vAlign w:val="center"/>
          </w:tcPr>
          <w:p w:rsidR="00FC7F83" w:rsidRPr="002B6BAD" w:rsidRDefault="00FC7F83" w:rsidP="00DC355D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C355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en-US" w:eastAsia="ru-RU"/>
              </w:rPr>
              <w:t>.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C52D5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27" w:type="dxa"/>
            <w:gridSpan w:val="2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884" w:type="dxa"/>
            <w:gridSpan w:val="2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F54F2" w:rsidRPr="002B6BAD" w:rsidTr="00F17144">
        <w:trPr>
          <w:trHeight w:val="193"/>
        </w:trPr>
        <w:tc>
          <w:tcPr>
            <w:tcW w:w="3544" w:type="dxa"/>
            <w:gridSpan w:val="2"/>
            <w:vAlign w:val="bottom"/>
          </w:tcPr>
          <w:p w:rsidR="00FF54F2" w:rsidRPr="002B6BAD" w:rsidRDefault="00FF54F2" w:rsidP="00FF54F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Доходы</w:t>
            </w:r>
          </w:p>
        </w:tc>
        <w:tc>
          <w:tcPr>
            <w:tcW w:w="1276" w:type="dxa"/>
            <w:vAlign w:val="bottom"/>
          </w:tcPr>
          <w:p w:rsidR="00FF54F2" w:rsidRDefault="00DF4AB1" w:rsidP="0013359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215 326,1</w:t>
            </w:r>
          </w:p>
        </w:tc>
        <w:tc>
          <w:tcPr>
            <w:tcW w:w="1883" w:type="dxa"/>
            <w:vAlign w:val="bottom"/>
          </w:tcPr>
          <w:p w:rsidR="00FF54F2" w:rsidRDefault="009E5490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404 546,8</w:t>
            </w:r>
          </w:p>
        </w:tc>
        <w:tc>
          <w:tcPr>
            <w:tcW w:w="1284" w:type="dxa"/>
            <w:vAlign w:val="bottom"/>
          </w:tcPr>
          <w:p w:rsidR="00FF54F2" w:rsidRDefault="004C0D29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254 956,5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F54F2" w:rsidRDefault="004C0D29" w:rsidP="004374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63,0</w:t>
            </w:r>
          </w:p>
        </w:tc>
        <w:tc>
          <w:tcPr>
            <w:tcW w:w="1884" w:type="dxa"/>
            <w:gridSpan w:val="2"/>
            <w:vAlign w:val="bottom"/>
          </w:tcPr>
          <w:p w:rsidR="00FF54F2" w:rsidRDefault="00DF4AB1" w:rsidP="004374D5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39 630,4</w:t>
            </w:r>
          </w:p>
        </w:tc>
      </w:tr>
      <w:tr w:rsidR="006940D2" w:rsidRPr="002B6BAD" w:rsidTr="00F17144">
        <w:trPr>
          <w:trHeight w:val="155"/>
        </w:trPr>
        <w:tc>
          <w:tcPr>
            <w:tcW w:w="3544" w:type="dxa"/>
            <w:gridSpan w:val="2"/>
            <w:vAlign w:val="bottom"/>
          </w:tcPr>
          <w:p w:rsidR="006940D2" w:rsidRPr="002B6BAD" w:rsidRDefault="006940D2" w:rsidP="006940D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Расходы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940D2" w:rsidRDefault="00DF4AB1" w:rsidP="008B2BAB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212 180,6</w:t>
            </w:r>
          </w:p>
        </w:tc>
        <w:tc>
          <w:tcPr>
            <w:tcW w:w="1883" w:type="dxa"/>
            <w:shd w:val="clear" w:color="auto" w:fill="auto"/>
            <w:vAlign w:val="bottom"/>
          </w:tcPr>
          <w:p w:rsidR="006940D2" w:rsidRDefault="00DF4AB1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410 454,7</w:t>
            </w:r>
          </w:p>
        </w:tc>
        <w:tc>
          <w:tcPr>
            <w:tcW w:w="1284" w:type="dxa"/>
            <w:shd w:val="clear" w:color="auto" w:fill="auto"/>
            <w:vAlign w:val="bottom"/>
          </w:tcPr>
          <w:p w:rsidR="006940D2" w:rsidRDefault="00DF4AB1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251 154,8</w:t>
            </w:r>
          </w:p>
        </w:tc>
        <w:tc>
          <w:tcPr>
            <w:tcW w:w="1327" w:type="dxa"/>
            <w:gridSpan w:val="2"/>
            <w:shd w:val="clear" w:color="auto" w:fill="auto"/>
            <w:noWrap/>
            <w:vAlign w:val="bottom"/>
          </w:tcPr>
          <w:p w:rsidR="006940D2" w:rsidRDefault="00DF4AB1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61,2</w:t>
            </w:r>
          </w:p>
        </w:tc>
        <w:tc>
          <w:tcPr>
            <w:tcW w:w="1884" w:type="dxa"/>
            <w:gridSpan w:val="2"/>
            <w:shd w:val="clear" w:color="auto" w:fill="auto"/>
            <w:vAlign w:val="bottom"/>
          </w:tcPr>
          <w:p w:rsidR="006940D2" w:rsidRDefault="00DF4AB1" w:rsidP="008B2BA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38 974,2</w:t>
            </w:r>
          </w:p>
        </w:tc>
      </w:tr>
      <w:tr w:rsidR="00FC7F83" w:rsidRPr="002B6BAD" w:rsidTr="00F17144">
        <w:trPr>
          <w:trHeight w:val="315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FF54F2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Профицит бюджета</w:t>
            </w:r>
            <w:proofErr w:type="gramStart"/>
            <w:r w:rsidRPr="002B6BAD">
              <w:rPr>
                <w:color w:val="000000"/>
                <w:lang w:eastAsia="ru-RU"/>
              </w:rPr>
              <w:t xml:space="preserve"> ("+") </w:t>
            </w:r>
            <w:proofErr w:type="gramEnd"/>
            <w:r w:rsidRPr="002B6BAD">
              <w:rPr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276" w:type="dxa"/>
            <w:vAlign w:val="bottom"/>
          </w:tcPr>
          <w:p w:rsidR="00FC7F83" w:rsidRPr="00DF4AB1" w:rsidRDefault="001579F3" w:rsidP="00DF4AB1">
            <w:pPr>
              <w:spacing w:after="0"/>
              <w:jc w:val="center"/>
              <w:rPr>
                <w:color w:val="000000"/>
              </w:rPr>
            </w:pPr>
            <w:r w:rsidRPr="00DF4AB1">
              <w:rPr>
                <w:color w:val="000000"/>
              </w:rPr>
              <w:t>3 145,</w:t>
            </w:r>
            <w:r w:rsidR="00DF4AB1" w:rsidRPr="00DF4AB1">
              <w:rPr>
                <w:color w:val="000000"/>
              </w:rPr>
              <w:t>5</w:t>
            </w:r>
          </w:p>
        </w:tc>
        <w:tc>
          <w:tcPr>
            <w:tcW w:w="1883" w:type="dxa"/>
            <w:vAlign w:val="bottom"/>
          </w:tcPr>
          <w:p w:rsidR="00FC7F83" w:rsidRDefault="001579F3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-5 907,9</w:t>
            </w:r>
          </w:p>
        </w:tc>
        <w:tc>
          <w:tcPr>
            <w:tcW w:w="1284" w:type="dxa"/>
            <w:vAlign w:val="bottom"/>
          </w:tcPr>
          <w:p w:rsidR="00FC7F83" w:rsidRDefault="001579F3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3 801,7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33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Источники финансирования, в т.ч.</w:t>
            </w:r>
          </w:p>
        </w:tc>
        <w:tc>
          <w:tcPr>
            <w:tcW w:w="1276" w:type="dxa"/>
            <w:vAlign w:val="bottom"/>
          </w:tcPr>
          <w:p w:rsidR="00FC7F83" w:rsidRPr="00DF4AB1" w:rsidRDefault="00DF4AB1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-3 145,5</w:t>
            </w:r>
          </w:p>
        </w:tc>
        <w:tc>
          <w:tcPr>
            <w:tcW w:w="1883" w:type="dxa"/>
            <w:vAlign w:val="bottom"/>
          </w:tcPr>
          <w:p w:rsidR="00FC7F83" w:rsidRDefault="001579F3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5 907,9</w:t>
            </w:r>
          </w:p>
        </w:tc>
        <w:tc>
          <w:tcPr>
            <w:tcW w:w="1284" w:type="dxa"/>
            <w:vAlign w:val="bottom"/>
          </w:tcPr>
          <w:p w:rsidR="00FC7F83" w:rsidRDefault="001579F3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-3 801,7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48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276" w:type="dxa"/>
            <w:vAlign w:val="bottom"/>
          </w:tcPr>
          <w:p w:rsidR="00FC7F83" w:rsidRPr="00DF4AB1" w:rsidRDefault="00DF4AB1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-3 145,5</w:t>
            </w:r>
          </w:p>
        </w:tc>
        <w:tc>
          <w:tcPr>
            <w:tcW w:w="1883" w:type="dxa"/>
            <w:vAlign w:val="bottom"/>
          </w:tcPr>
          <w:p w:rsidR="00FC7F83" w:rsidRDefault="001579F3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-1 787,2</w:t>
            </w:r>
          </w:p>
        </w:tc>
        <w:tc>
          <w:tcPr>
            <w:tcW w:w="1284" w:type="dxa"/>
            <w:vAlign w:val="bottom"/>
          </w:tcPr>
          <w:p w:rsidR="00FC7F83" w:rsidRDefault="001579F3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-3 801,7</w:t>
            </w: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300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276" w:type="dxa"/>
            <w:vAlign w:val="bottom"/>
          </w:tcPr>
          <w:p w:rsidR="00FC7F83" w:rsidRDefault="00FC7F83" w:rsidP="00EC740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3" w:type="dxa"/>
            <w:vAlign w:val="bottom"/>
          </w:tcPr>
          <w:p w:rsidR="00FC7F83" w:rsidRDefault="001579F3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4 748,1</w:t>
            </w:r>
          </w:p>
        </w:tc>
        <w:tc>
          <w:tcPr>
            <w:tcW w:w="1284" w:type="dxa"/>
            <w:vAlign w:val="bottom"/>
          </w:tcPr>
          <w:p w:rsidR="00FC7F83" w:rsidRDefault="00FC7F83" w:rsidP="00EC740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F17144">
        <w:trPr>
          <w:trHeight w:val="557"/>
        </w:trPr>
        <w:tc>
          <w:tcPr>
            <w:tcW w:w="3544" w:type="dxa"/>
            <w:gridSpan w:val="2"/>
            <w:vAlign w:val="bottom"/>
          </w:tcPr>
          <w:p w:rsidR="00FC7F83" w:rsidRPr="002B6BAD" w:rsidRDefault="00FC7F83" w:rsidP="00146575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276" w:type="dxa"/>
            <w:vAlign w:val="bottom"/>
          </w:tcPr>
          <w:p w:rsidR="00FC7F83" w:rsidRDefault="00FC7F83" w:rsidP="00EC740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3" w:type="dxa"/>
            <w:vAlign w:val="bottom"/>
          </w:tcPr>
          <w:p w:rsidR="00FC7F83" w:rsidRDefault="005F1DF5" w:rsidP="00EC740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2 947</w:t>
            </w:r>
            <w:r w:rsidR="002C78D7">
              <w:rPr>
                <w:color w:val="000000"/>
              </w:rPr>
              <w:t>,0</w:t>
            </w:r>
          </w:p>
        </w:tc>
        <w:tc>
          <w:tcPr>
            <w:tcW w:w="1284" w:type="dxa"/>
            <w:vAlign w:val="bottom"/>
          </w:tcPr>
          <w:p w:rsidR="00FC7F83" w:rsidRDefault="00FC7F83" w:rsidP="00EC7401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327" w:type="dxa"/>
            <w:gridSpan w:val="2"/>
            <w:noWrap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884" w:type="dxa"/>
            <w:gridSpan w:val="2"/>
            <w:vAlign w:val="bottom"/>
          </w:tcPr>
          <w:p w:rsidR="00FC7F83" w:rsidRDefault="00FC7F83" w:rsidP="008B2BAB">
            <w:pPr>
              <w:spacing w:after="0"/>
              <w:jc w:val="center"/>
              <w:rPr>
                <w:color w:val="000000"/>
              </w:rPr>
            </w:pPr>
          </w:p>
        </w:tc>
      </w:tr>
      <w:tr w:rsidR="00FC7F83" w:rsidRPr="002B6BAD" w:rsidTr="00552CCE">
        <w:tblPrEx>
          <w:tblLook w:val="0000" w:firstRow="0" w:lastRow="0" w:firstColumn="0" w:lastColumn="0" w:noHBand="0" w:noVBand="0"/>
        </w:tblPrEx>
        <w:trPr>
          <w:trHeight w:val="377"/>
        </w:trPr>
        <w:tc>
          <w:tcPr>
            <w:tcW w:w="11198" w:type="dxa"/>
            <w:gridSpan w:val="9"/>
            <w:shd w:val="clear" w:color="auto" w:fill="8DB3E2"/>
          </w:tcPr>
          <w:p w:rsidR="00B65614" w:rsidRDefault="00FC7F83" w:rsidP="00B6561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Исполнение  доходной части 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районного </w:t>
            </w:r>
            <w:r w:rsidRPr="002B6BAD">
              <w:rPr>
                <w:b/>
                <w:bCs/>
                <w:i/>
                <w:iCs/>
                <w:sz w:val="24"/>
                <w:szCs w:val="24"/>
              </w:rPr>
              <w:t xml:space="preserve">бюджета муниципального района «Забайкальский район» </w:t>
            </w:r>
          </w:p>
          <w:p w:rsidR="00FC7F83" w:rsidRPr="002B6BAD" w:rsidRDefault="00DC355D" w:rsidP="00B6561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На 01.07</w:t>
            </w:r>
            <w:r w:rsidR="005F1DF5">
              <w:rPr>
                <w:b/>
                <w:bCs/>
                <w:i/>
                <w:iCs/>
                <w:sz w:val="24"/>
                <w:szCs w:val="24"/>
              </w:rPr>
              <w:t>.2015</w:t>
            </w:r>
            <w:r w:rsidR="00C44C84">
              <w:rPr>
                <w:b/>
                <w:bCs/>
                <w:i/>
                <w:iCs/>
                <w:sz w:val="24"/>
                <w:szCs w:val="24"/>
              </w:rPr>
              <w:t xml:space="preserve"> год</w:t>
            </w:r>
            <w:r w:rsidR="0039716B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="00FC7F83" w:rsidRPr="002B6BAD">
              <w:rPr>
                <w:b/>
                <w:bCs/>
                <w:i/>
                <w:iCs/>
                <w:sz w:val="24"/>
                <w:szCs w:val="24"/>
              </w:rPr>
              <w:t xml:space="preserve"> (тыс. руб.)       </w:t>
            </w:r>
          </w:p>
        </w:tc>
      </w:tr>
      <w:tr w:rsidR="00FC7F83" w:rsidRPr="002B6BAD" w:rsidTr="00833178">
        <w:tblPrEx>
          <w:tblLook w:val="0000" w:firstRow="0" w:lastRow="0" w:firstColumn="0" w:lastColumn="0" w:noHBand="0" w:noVBand="0"/>
        </w:tblPrEx>
        <w:trPr>
          <w:trHeight w:val="846"/>
        </w:trPr>
        <w:tc>
          <w:tcPr>
            <w:tcW w:w="2238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 xml:space="preserve">Код </w:t>
            </w:r>
            <w:proofErr w:type="gramStart"/>
            <w:r w:rsidRPr="002B6BAD">
              <w:rPr>
                <w:i/>
                <w:iCs/>
                <w:sz w:val="20"/>
                <w:szCs w:val="20"/>
              </w:rPr>
              <w:t>по</w:t>
            </w:r>
            <w:proofErr w:type="gramEnd"/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БК</w:t>
            </w:r>
          </w:p>
        </w:tc>
        <w:tc>
          <w:tcPr>
            <w:tcW w:w="4465" w:type="dxa"/>
            <w:gridSpan w:val="3"/>
            <w:shd w:val="clear" w:color="auto" w:fill="FFFF66"/>
            <w:vAlign w:val="center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781" w:type="dxa"/>
            <w:gridSpan w:val="2"/>
            <w:shd w:val="clear" w:color="auto" w:fill="FFFF66"/>
            <w:vAlign w:val="center"/>
          </w:tcPr>
          <w:p w:rsidR="00FC7F83" w:rsidRPr="00836EED" w:rsidRDefault="00FC7F83" w:rsidP="005F1DF5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5F1DF5">
              <w:rPr>
                <w:rFonts w:ascii="Calibri" w:hAnsi="Calibri" w:cs="Calibri"/>
                <w:i/>
                <w:iCs/>
                <w:sz w:val="20"/>
                <w:szCs w:val="20"/>
              </w:rPr>
              <w:t>5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546" w:type="dxa"/>
            <w:gridSpan w:val="2"/>
            <w:shd w:val="clear" w:color="auto" w:fill="FFFF66"/>
            <w:vAlign w:val="center"/>
          </w:tcPr>
          <w:p w:rsidR="00FC7F83" w:rsidRPr="002B6BAD" w:rsidRDefault="005F1DF5" w:rsidP="00287C91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Фактически поступило н</w:t>
            </w:r>
            <w:r w:rsidR="00FC7F83" w:rsidRPr="002B6BAD">
              <w:rPr>
                <w:b/>
                <w:bCs/>
                <w:i/>
                <w:iCs/>
                <w:sz w:val="20"/>
                <w:szCs w:val="20"/>
              </w:rPr>
              <w:t>а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C355D">
              <w:rPr>
                <w:b/>
                <w:bCs/>
                <w:i/>
                <w:iCs/>
                <w:sz w:val="20"/>
                <w:szCs w:val="20"/>
              </w:rPr>
              <w:t>01.07</w:t>
            </w:r>
            <w:r>
              <w:rPr>
                <w:b/>
                <w:bCs/>
                <w:i/>
                <w:iCs/>
                <w:sz w:val="20"/>
                <w:szCs w:val="20"/>
              </w:rPr>
              <w:t>.</w:t>
            </w:r>
            <w:r w:rsidR="00FC7F83"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FC7F83"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39716B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1168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line="240" w:lineRule="auto"/>
              <w:ind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</w:tr>
      <w:tr w:rsidR="00FC7F83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ind w:right="-108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836EED" w:rsidRDefault="00FC7F83" w:rsidP="00B71D03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 w:rsidRPr="00836EED">
              <w:rPr>
                <w:rFonts w:ascii="Calibri" w:hAnsi="Calibri" w:cs="Calibri"/>
                <w:sz w:val="22"/>
                <w:szCs w:val="22"/>
              </w:rPr>
              <w:t xml:space="preserve">Доходы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4C0D29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143</w:t>
            </w:r>
            <w:r w:rsidR="00DF4A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800,8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4C0D29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74</w:t>
            </w:r>
            <w:r w:rsidR="00DF4A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287,4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4C0D29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51,7</w:t>
            </w:r>
          </w:p>
        </w:tc>
      </w:tr>
      <w:tr w:rsidR="00FC7F83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1 01 02000 01 0000 110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FC7F83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4C0D29" w:rsidP="002C0A6F">
            <w:pPr>
              <w:spacing w:after="0" w:line="240" w:lineRule="auto"/>
              <w:jc w:val="center"/>
            </w:pPr>
            <w:r>
              <w:t>97</w:t>
            </w:r>
            <w:r w:rsidR="00DF4AB1">
              <w:t xml:space="preserve"> </w:t>
            </w:r>
            <w:r>
              <w:t>942,4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F83" w:rsidRPr="002B6BAD" w:rsidRDefault="004C0D29" w:rsidP="00B71D03">
            <w:pPr>
              <w:spacing w:after="0" w:line="240" w:lineRule="auto"/>
              <w:jc w:val="center"/>
            </w:pPr>
            <w:r>
              <w:t>40</w:t>
            </w:r>
            <w:r w:rsidR="00DF4AB1">
              <w:t xml:space="preserve"> </w:t>
            </w:r>
            <w:r>
              <w:t>500,4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F83" w:rsidRPr="002B6BAD" w:rsidRDefault="004C0D29" w:rsidP="00B71D03">
            <w:pPr>
              <w:spacing w:after="0" w:line="240" w:lineRule="auto"/>
              <w:jc w:val="center"/>
            </w:pPr>
            <w:r>
              <w:t>41,3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39716B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</w:t>
            </w:r>
            <w:r>
              <w:rPr>
                <w:sz w:val="20"/>
                <w:szCs w:val="20"/>
              </w:rPr>
              <w:t>3</w:t>
            </w:r>
            <w:r w:rsidRPr="002B6BAD">
              <w:rPr>
                <w:sz w:val="20"/>
                <w:szCs w:val="20"/>
              </w:rPr>
              <w:t xml:space="preserve"> 02000 01 0000 110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Акцизы по подакцизным товарам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Default="004C0D29" w:rsidP="00B71D03">
            <w:pPr>
              <w:spacing w:after="0" w:line="240" w:lineRule="auto"/>
              <w:jc w:val="center"/>
            </w:pPr>
            <w:r>
              <w:t>5</w:t>
            </w:r>
            <w:r w:rsidR="00DF4AB1">
              <w:t xml:space="preserve"> </w:t>
            </w:r>
            <w:r>
              <w:t>739,0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2</w:t>
            </w:r>
            <w:r w:rsidR="00DF4AB1">
              <w:t xml:space="preserve"> </w:t>
            </w:r>
            <w:r>
              <w:t>602,0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45,3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1 05 00000 00 0000 000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13</w:t>
            </w:r>
            <w:r w:rsidR="00DF4AB1">
              <w:t xml:space="preserve"> </w:t>
            </w:r>
            <w:r>
              <w:t>251,0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CD3E7E">
            <w:pPr>
              <w:spacing w:after="0" w:line="240" w:lineRule="auto"/>
              <w:jc w:val="center"/>
            </w:pPr>
            <w:r>
              <w:t>6</w:t>
            </w:r>
            <w:r w:rsidR="00DF4AB1">
              <w:t xml:space="preserve"> </w:t>
            </w:r>
            <w:r>
              <w:t>170,1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46,6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0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ind w:right="-108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1 0700000 00 0000 000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310,2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63,7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20,5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1 08 00000  00 0000 000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1</w:t>
            </w:r>
            <w:r w:rsidR="00DF4AB1">
              <w:t xml:space="preserve"> </w:t>
            </w:r>
            <w:r>
              <w:t>856,0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1</w:t>
            </w:r>
            <w:r w:rsidR="00DF4AB1">
              <w:t xml:space="preserve"> </w:t>
            </w:r>
            <w:r>
              <w:t>580,7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85,2</w:t>
            </w:r>
          </w:p>
        </w:tc>
      </w:tr>
      <w:tr w:rsidR="002C0A6F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Pr="00836EED" w:rsidRDefault="002C0A6F" w:rsidP="002C0A6F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1 0</w:t>
            </w:r>
            <w:r>
              <w:rPr>
                <w:rFonts w:ascii="Calibri" w:hAnsi="Calibri" w:cs="Calibri"/>
                <w:sz w:val="20"/>
                <w:szCs w:val="20"/>
              </w:rPr>
              <w:t>9</w:t>
            </w:r>
            <w:r w:rsidRPr="00836EED">
              <w:rPr>
                <w:rFonts w:ascii="Calibri" w:hAnsi="Calibri" w:cs="Calibri"/>
                <w:sz w:val="20"/>
                <w:szCs w:val="20"/>
              </w:rPr>
              <w:t xml:space="preserve"> 00000  00 0000 000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Pr="00836EED" w:rsidRDefault="002C0A6F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Задолженность и перерасчеты по отмененным налогам и сборам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Default="004C0D29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A6F" w:rsidRDefault="004C0D29" w:rsidP="00B71D03">
            <w:pPr>
              <w:spacing w:after="0" w:line="240" w:lineRule="auto"/>
              <w:jc w:val="center"/>
            </w:pPr>
            <w:r>
              <w:t>-1,0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0A6F" w:rsidRPr="002B6BAD" w:rsidRDefault="004C0D29" w:rsidP="00B71D0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1 11 00000 00 0000 000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Доходы от использования имущества</w:t>
            </w:r>
            <w:r w:rsidR="00F67020">
              <w:rPr>
                <w:sz w:val="20"/>
                <w:szCs w:val="20"/>
              </w:rPr>
              <w:t>, находящегося в гос.  и муниц.</w:t>
            </w:r>
            <w:r w:rsidRPr="002B6BAD">
              <w:rPr>
                <w:sz w:val="20"/>
                <w:szCs w:val="20"/>
              </w:rPr>
              <w:t xml:space="preserve"> собственности    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18</w:t>
            </w:r>
            <w:r w:rsidR="00DF4AB1">
              <w:t xml:space="preserve"> </w:t>
            </w:r>
            <w:r>
              <w:t>413,9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20</w:t>
            </w:r>
            <w:r w:rsidR="00DF4AB1">
              <w:t xml:space="preserve"> </w:t>
            </w:r>
            <w:r>
              <w:t>423,9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110,9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1 12 00000 00 0000 000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Пл</w:t>
            </w:r>
            <w:r w:rsidR="00F67020">
              <w:rPr>
                <w:sz w:val="20"/>
                <w:szCs w:val="20"/>
              </w:rPr>
              <w:t>атежи при пользовании природн.</w:t>
            </w:r>
            <w:r w:rsidRPr="002B6BAD">
              <w:rPr>
                <w:sz w:val="20"/>
                <w:szCs w:val="20"/>
              </w:rPr>
              <w:t xml:space="preserve"> ресурсами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1</w:t>
            </w:r>
            <w:r w:rsidR="00DF4AB1">
              <w:t xml:space="preserve"> </w:t>
            </w:r>
            <w:r>
              <w:t>685,5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515,3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30,6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1 14 00000 00 0000 000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962,8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406,6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42,2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1 16 00000 00 0000 000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Штрафы, санкции, возмещение ущерба 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3</w:t>
            </w:r>
            <w:r w:rsidR="00DF4AB1">
              <w:t xml:space="preserve"> </w:t>
            </w:r>
            <w:r>
              <w:t>640,0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2</w:t>
            </w:r>
            <w:r w:rsidR="00DF4AB1">
              <w:t xml:space="preserve"> </w:t>
            </w:r>
            <w:r>
              <w:t>024,4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76,7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18"/>
                <w:szCs w:val="18"/>
              </w:rPr>
            </w:pPr>
            <w:r w:rsidRPr="00836EED">
              <w:rPr>
                <w:rFonts w:ascii="Calibri" w:hAnsi="Calibri" w:cs="Calibri"/>
                <w:sz w:val="18"/>
                <w:szCs w:val="18"/>
              </w:rPr>
              <w:t xml:space="preserve">1 17  00000   00  0000  000    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ind w:left="-108" w:right="-108"/>
              <w:jc w:val="center"/>
            </w:pPr>
            <w:r>
              <w:t>0,0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D0015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260</w:t>
            </w:r>
            <w:r w:rsidR="00DF4A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746,0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</w:t>
            </w:r>
            <w:r w:rsidR="00DF4A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669,1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69,3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CD3E7E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260</w:t>
            </w:r>
            <w:r w:rsidR="00DF4AB1">
              <w:t xml:space="preserve"> </w:t>
            </w:r>
            <w:r>
              <w:t>944,7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179</w:t>
            </w:r>
            <w:r w:rsidR="00DF4AB1">
              <w:t xml:space="preserve"> </w:t>
            </w:r>
            <w:r>
              <w:t>839,8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68,9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2 02 01000 00 0000 151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23</w:t>
            </w:r>
            <w:r w:rsidR="00DF4AB1">
              <w:t xml:space="preserve"> </w:t>
            </w:r>
            <w:r>
              <w:t>326,0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10</w:t>
            </w:r>
            <w:r w:rsidR="00DF4AB1">
              <w:t xml:space="preserve"> </w:t>
            </w:r>
            <w:r>
              <w:t>663,2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45,7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56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2 02 02000 00 0000 151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6</w:t>
            </w:r>
            <w:r w:rsidR="00DF4AB1">
              <w:t xml:space="preserve"> </w:t>
            </w:r>
            <w:r>
              <w:t>903,8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2</w:t>
            </w:r>
            <w:r w:rsidR="00DF4AB1">
              <w:t xml:space="preserve"> </w:t>
            </w:r>
            <w:r>
              <w:t>070,3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30,0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3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2 02 03000 00 0000 151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 xml:space="preserve">Субвенции бюджетам субъектов РФ и  муниципальных образований 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230</w:t>
            </w:r>
            <w:r w:rsidR="00DF4AB1">
              <w:t xml:space="preserve"> </w:t>
            </w:r>
            <w:r>
              <w:t>496,1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167</w:t>
            </w:r>
            <w:r w:rsidR="00DF4AB1">
              <w:t xml:space="preserve"> </w:t>
            </w:r>
            <w:r>
              <w:t>086,7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72,5</w:t>
            </w:r>
          </w:p>
        </w:tc>
      </w:tr>
      <w:tr w:rsidR="00F31A86" w:rsidRPr="002B6BAD" w:rsidTr="00F670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Pr="00836EED" w:rsidRDefault="00F31A86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2 02 04000 00 0000 151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Pr="002B6BAD" w:rsidRDefault="00F31A86" w:rsidP="00B71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Default="004C0D29" w:rsidP="00B71D03">
            <w:pPr>
              <w:spacing w:after="0" w:line="240" w:lineRule="auto"/>
              <w:jc w:val="center"/>
            </w:pPr>
            <w:r>
              <w:t>218,8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86" w:rsidRDefault="004C0D29" w:rsidP="00B71D03">
            <w:pPr>
              <w:spacing w:after="0" w:line="240" w:lineRule="auto"/>
              <w:jc w:val="center"/>
            </w:pPr>
            <w:r>
              <w:t>19,6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A86" w:rsidRDefault="004C0D29" w:rsidP="00B71D03">
            <w:pPr>
              <w:spacing w:after="0" w:line="240" w:lineRule="auto"/>
              <w:jc w:val="center"/>
            </w:pPr>
            <w:r>
              <w:t>8,9</w:t>
            </w:r>
          </w:p>
        </w:tc>
      </w:tr>
      <w:tr w:rsidR="00F67020" w:rsidRPr="002B6BAD" w:rsidTr="00F670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2 07 00000 00 0000 000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4C0D29" w:rsidP="00B71D03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4C0D29" w:rsidP="00B71D03">
            <w:pPr>
              <w:spacing w:after="0" w:line="240" w:lineRule="auto"/>
              <w:jc w:val="center"/>
            </w:pPr>
            <w:r>
              <w:t>1</w:t>
            </w:r>
            <w:r w:rsidR="00DF4AB1">
              <w:t xml:space="preserve"> </w:t>
            </w:r>
            <w:r>
              <w:t>028,0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020" w:rsidRDefault="004C0D29" w:rsidP="00B71D03">
            <w:pPr>
              <w:spacing w:after="0" w:line="240" w:lineRule="auto"/>
              <w:jc w:val="center"/>
            </w:pPr>
            <w:r>
              <w:t>0,0</w:t>
            </w:r>
          </w:p>
        </w:tc>
      </w:tr>
      <w:tr w:rsidR="00F67020" w:rsidRPr="002B6BAD" w:rsidTr="00F67020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2 18 00000 00 0000 000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F67020" w:rsidP="00F6702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бюджетов бюджетной системы РФ от возврата бюджетами бюджетной системы РФ и организациями остатков субсидий, субвенций и иных межбюджетных трансфертов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4C0D29" w:rsidP="00B71D03">
            <w:pPr>
              <w:spacing w:after="0" w:line="240" w:lineRule="auto"/>
              <w:jc w:val="center"/>
            </w:pPr>
            <w:r>
              <w:t>1</w:t>
            </w:r>
            <w:r w:rsidR="00DF4AB1">
              <w:t xml:space="preserve"> </w:t>
            </w:r>
            <w:r>
              <w:t>685,5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020" w:rsidRDefault="004C0D29" w:rsidP="00B71D03">
            <w:pPr>
              <w:spacing w:after="0" w:line="240" w:lineRule="auto"/>
              <w:jc w:val="center"/>
            </w:pPr>
            <w:r>
              <w:t>1</w:t>
            </w:r>
            <w:r w:rsidR="00DF4AB1">
              <w:t xml:space="preserve"> </w:t>
            </w:r>
            <w:r>
              <w:t>685,5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7020" w:rsidRDefault="004C0D29" w:rsidP="00B71D0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ind w:right="-108"/>
              <w:rPr>
                <w:rFonts w:ascii="Calibri" w:hAnsi="Calibri" w:cs="Calibri"/>
                <w:sz w:val="20"/>
                <w:szCs w:val="20"/>
              </w:rPr>
            </w:pPr>
            <w:r w:rsidRPr="00836EED">
              <w:rPr>
                <w:rFonts w:ascii="Calibri" w:hAnsi="Calibri" w:cs="Calibri"/>
                <w:sz w:val="20"/>
                <w:szCs w:val="20"/>
              </w:rPr>
              <w:t>2 19 05000 05 0000 151</w:t>
            </w: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39716B" w:rsidP="00B71D03">
            <w:pPr>
              <w:spacing w:after="0" w:line="240" w:lineRule="auto"/>
              <w:rPr>
                <w:sz w:val="20"/>
                <w:szCs w:val="20"/>
              </w:rPr>
            </w:pPr>
            <w:r w:rsidRPr="002B6BAD">
              <w:rPr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-1</w:t>
            </w:r>
            <w:r w:rsidR="00DF4AB1">
              <w:t xml:space="preserve"> </w:t>
            </w:r>
            <w:r>
              <w:t>884,2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-1</w:t>
            </w:r>
            <w:r w:rsidR="00DF4AB1">
              <w:t xml:space="preserve"> </w:t>
            </w:r>
            <w:r>
              <w:t>884,2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</w:pPr>
            <w:r>
              <w:t>100,0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2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404</w:t>
            </w:r>
            <w:r w:rsidR="00DF4A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546,8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254</w:t>
            </w:r>
            <w:r w:rsidR="00DF4AB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956,5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16B" w:rsidRPr="002B6BAD" w:rsidRDefault="004C0D29" w:rsidP="00B71D0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63,0</w:t>
            </w:r>
          </w:p>
        </w:tc>
      </w:tr>
      <w:tr w:rsidR="0039716B" w:rsidRPr="002B6BAD" w:rsidTr="00F17144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Pr="00836EED" w:rsidRDefault="0039716B" w:rsidP="00B71D03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716B" w:rsidRDefault="0039716B" w:rsidP="00B71D0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39716B" w:rsidRPr="002B6BAD" w:rsidTr="00552CCE">
        <w:tc>
          <w:tcPr>
            <w:tcW w:w="11198" w:type="dxa"/>
            <w:gridSpan w:val="9"/>
            <w:shd w:val="clear" w:color="auto" w:fill="8DB3E2"/>
          </w:tcPr>
          <w:p w:rsidR="0039716B" w:rsidRPr="002B6BAD" w:rsidRDefault="0039716B" w:rsidP="005F1DF5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Структура исполнения доходов районного бюджета </w:t>
            </w:r>
            <w:r w:rsidR="005F1D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DC355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01.07</w:t>
            </w:r>
            <w:r w:rsidR="005F1D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.2015</w:t>
            </w:r>
            <w:r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39716B" w:rsidRPr="002B6BAD" w:rsidTr="00552CCE">
        <w:tc>
          <w:tcPr>
            <w:tcW w:w="11198" w:type="dxa"/>
            <w:gridSpan w:val="9"/>
            <w:shd w:val="clear" w:color="auto" w:fill="FFFF66"/>
          </w:tcPr>
          <w:p w:rsidR="0039716B" w:rsidRPr="002B6BAD" w:rsidRDefault="0039716B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Доходы, всего</w:t>
            </w:r>
          </w:p>
        </w:tc>
      </w:tr>
    </w:tbl>
    <w:p w:rsidR="00273E23" w:rsidRPr="005F1DF5" w:rsidRDefault="004C0D29" w:rsidP="00B71D03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7105650" cy="2552700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8DB3E2"/>
          </w:tcPr>
          <w:p w:rsidR="00FC7F83" w:rsidRPr="002B6BAD" w:rsidRDefault="00FC7F83" w:rsidP="00B65614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Структура исполнения собственных доходов районного бюджета </w:t>
            </w:r>
            <w:r w:rsidR="005F1D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="005F1DF5"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  <w:r w:rsidR="00DC355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01.07</w:t>
            </w:r>
            <w:r w:rsidR="005F1DF5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.2015 </w:t>
            </w:r>
            <w:r w:rsidR="007401FE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год</w:t>
            </w:r>
            <w:r w:rsidR="006636E8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а</w:t>
            </w:r>
          </w:p>
        </w:tc>
      </w:tr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</w:tr>
    </w:tbl>
    <w:p w:rsidR="00273E23" w:rsidRPr="005F1DF5" w:rsidRDefault="004C0D29" w:rsidP="00B71D03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7105650" cy="29718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98"/>
      </w:tblGrid>
      <w:tr w:rsidR="00FC7F83" w:rsidRPr="002B6BAD" w:rsidTr="00552CCE">
        <w:tc>
          <w:tcPr>
            <w:tcW w:w="11198" w:type="dxa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Ритмичность поступления доходов в районный бюджет муниципального района 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«Забайкальский район»</w:t>
            </w:r>
          </w:p>
        </w:tc>
      </w:tr>
      <w:tr w:rsidR="00FC7F83" w:rsidRPr="002B6BAD" w:rsidTr="00552CCE">
        <w:tc>
          <w:tcPr>
            <w:tcW w:w="11198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Доходы, всего</w:t>
            </w:r>
          </w:p>
        </w:tc>
      </w:tr>
    </w:tbl>
    <w:p w:rsidR="00833178" w:rsidRDefault="004C0D29" w:rsidP="00D536E6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7105650" cy="304800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1"/>
        <w:gridCol w:w="1530"/>
        <w:gridCol w:w="1530"/>
        <w:gridCol w:w="1700"/>
        <w:gridCol w:w="1620"/>
        <w:gridCol w:w="1417"/>
      </w:tblGrid>
      <w:tr w:rsidR="00FC7F83" w:rsidRPr="002B6BAD" w:rsidTr="00552CCE">
        <w:trPr>
          <w:trHeight w:val="300"/>
        </w:trPr>
        <w:tc>
          <w:tcPr>
            <w:tcW w:w="11198" w:type="dxa"/>
            <w:gridSpan w:val="6"/>
            <w:vMerge w:val="restart"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Расходы районного бюджета муниципального района «Забайкальский район» (тыс.руб.)</w:t>
            </w:r>
          </w:p>
        </w:tc>
      </w:tr>
      <w:tr w:rsidR="00FC7F83" w:rsidRPr="002B6BAD" w:rsidTr="00552CCE">
        <w:trPr>
          <w:trHeight w:val="300"/>
        </w:trPr>
        <w:tc>
          <w:tcPr>
            <w:tcW w:w="11198" w:type="dxa"/>
            <w:gridSpan w:val="6"/>
            <w:vMerge/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552CCE">
        <w:trPr>
          <w:trHeight w:val="300"/>
        </w:trPr>
        <w:tc>
          <w:tcPr>
            <w:tcW w:w="3401" w:type="dxa"/>
            <w:vMerge w:val="restart"/>
            <w:shd w:val="clear" w:color="auto" w:fill="FFFF66"/>
            <w:vAlign w:val="bottom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530" w:type="dxa"/>
            <w:vMerge w:val="restart"/>
            <w:shd w:val="clear" w:color="auto" w:fill="FFFF66"/>
            <w:vAlign w:val="center"/>
          </w:tcPr>
          <w:p w:rsidR="00FC7F83" w:rsidRPr="003742BE" w:rsidRDefault="00C060EA" w:rsidP="006221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C355D">
              <w:rPr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50" w:type="dxa"/>
            <w:gridSpan w:val="3"/>
            <w:shd w:val="clear" w:color="auto" w:fill="FFFF66"/>
            <w:vAlign w:val="center"/>
          </w:tcPr>
          <w:p w:rsidR="00FC7F83" w:rsidRPr="002B6BAD" w:rsidRDefault="00FC7F83" w:rsidP="00622153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2B6BAD">
              <w:rPr>
                <w:i/>
                <w:iCs/>
                <w:color w:val="000000"/>
                <w:lang w:eastAsia="ru-RU"/>
              </w:rPr>
              <w:t>2</w:t>
            </w:r>
            <w:r w:rsidR="00223603">
              <w:rPr>
                <w:i/>
                <w:iCs/>
                <w:color w:val="000000"/>
                <w:lang w:eastAsia="ru-RU"/>
              </w:rPr>
              <w:t>01</w:t>
            </w:r>
            <w:r w:rsidR="00622153">
              <w:rPr>
                <w:i/>
                <w:iCs/>
                <w:color w:val="000000"/>
                <w:lang w:eastAsia="ru-RU"/>
              </w:rPr>
              <w:t>5</w:t>
            </w:r>
            <w:r w:rsidRPr="002B6BAD">
              <w:rPr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17" w:type="dxa"/>
            <w:vMerge w:val="restart"/>
            <w:shd w:val="clear" w:color="auto" w:fill="FFFF66"/>
            <w:vAlign w:val="center"/>
          </w:tcPr>
          <w:p w:rsidR="00FC7F83" w:rsidRPr="002B6BAD" w:rsidRDefault="006E5525" w:rsidP="0062215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622153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622153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="00FC7F83"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552CCE">
        <w:trPr>
          <w:trHeight w:val="510"/>
        </w:trPr>
        <w:tc>
          <w:tcPr>
            <w:tcW w:w="3401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30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700" w:type="dxa"/>
            <w:shd w:val="clear" w:color="auto" w:fill="FFFF66"/>
            <w:vAlign w:val="center"/>
          </w:tcPr>
          <w:p w:rsidR="00C15B78" w:rsidRDefault="00FC7F83" w:rsidP="00C15B78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Исполнено на </w:t>
            </w:r>
          </w:p>
          <w:p w:rsidR="00FC7F83" w:rsidRPr="003742BE" w:rsidRDefault="00FC7F83" w:rsidP="00DC355D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01.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C355D">
              <w:rPr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E574F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17" w:type="dxa"/>
            <w:vMerge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30" w:type="dxa"/>
            <w:vAlign w:val="bottom"/>
          </w:tcPr>
          <w:p w:rsidR="00C15B78" w:rsidRDefault="00DF4AB1" w:rsidP="00C15B78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28 061,1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69 962,6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34 857,6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49,8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6 796,5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705,7</w:t>
            </w:r>
          </w:p>
        </w:tc>
        <w:tc>
          <w:tcPr>
            <w:tcW w:w="1530" w:type="dxa"/>
            <w:vAlign w:val="bottom"/>
          </w:tcPr>
          <w:p w:rsidR="006940D2" w:rsidRDefault="00DF4AB1" w:rsidP="00622153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1 272,3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694,0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54,5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-11,7</w:t>
            </w:r>
          </w:p>
        </w:tc>
      </w:tr>
      <w:tr w:rsidR="006940D2" w:rsidRPr="002B6BAD" w:rsidTr="006940D2">
        <w:trPr>
          <w:trHeight w:val="432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99,7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514,8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307,1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207,4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7 264,9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582,2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9 887,0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2 114,4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1 532,2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166 029,9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287 197,9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194 841,1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67,8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28 811,2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190,4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2 163,3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950,5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43,9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760,1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8 437,1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18 781,3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8 269,0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-168,1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104,8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382,8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225,7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120,9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127A1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192,0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107,0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697,1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369,9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237,3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64,2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-459,8</w:t>
            </w:r>
          </w:p>
        </w:tc>
      </w:tr>
      <w:tr w:rsidR="006940D2" w:rsidRPr="002B6BAD" w:rsidTr="006940D2">
        <w:trPr>
          <w:trHeight w:val="225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7 176,8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12 267,9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8 454,1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68,9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1 277,3</w:t>
            </w:r>
          </w:p>
        </w:tc>
      </w:tr>
      <w:tr w:rsidR="006940D2" w:rsidRPr="002B6BAD" w:rsidTr="00552CCE">
        <w:trPr>
          <w:trHeight w:val="300"/>
        </w:trPr>
        <w:tc>
          <w:tcPr>
            <w:tcW w:w="3401" w:type="dxa"/>
            <w:vAlign w:val="bottom"/>
          </w:tcPr>
          <w:p w:rsidR="006940D2" w:rsidRDefault="006940D2" w:rsidP="006940D2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212 180,6</w:t>
            </w:r>
          </w:p>
        </w:tc>
        <w:tc>
          <w:tcPr>
            <w:tcW w:w="153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410 454,7</w:t>
            </w:r>
          </w:p>
        </w:tc>
        <w:tc>
          <w:tcPr>
            <w:tcW w:w="1700" w:type="dxa"/>
            <w:vAlign w:val="bottom"/>
          </w:tcPr>
          <w:p w:rsidR="006940D2" w:rsidRDefault="00DF4AB1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251 154,8</w:t>
            </w:r>
          </w:p>
        </w:tc>
        <w:tc>
          <w:tcPr>
            <w:tcW w:w="1620" w:type="dxa"/>
            <w:noWrap/>
            <w:vAlign w:val="bottom"/>
          </w:tcPr>
          <w:p w:rsidR="006940D2" w:rsidRDefault="00DF4AB1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61,2</w:t>
            </w:r>
          </w:p>
        </w:tc>
        <w:tc>
          <w:tcPr>
            <w:tcW w:w="1417" w:type="dxa"/>
            <w:vAlign w:val="bottom"/>
          </w:tcPr>
          <w:p w:rsidR="006940D2" w:rsidRDefault="00127A18" w:rsidP="006940D2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38 974,2</w:t>
            </w:r>
          </w:p>
        </w:tc>
      </w:tr>
      <w:tr w:rsidR="00FC7F83" w:rsidRPr="002B6BAD" w:rsidTr="00552CCE">
        <w:trPr>
          <w:trHeight w:val="270"/>
        </w:trPr>
        <w:tc>
          <w:tcPr>
            <w:tcW w:w="11198" w:type="dxa"/>
            <w:gridSpan w:val="6"/>
            <w:shd w:val="clear" w:color="auto" w:fill="8DB3E2"/>
            <w:vAlign w:val="center"/>
          </w:tcPr>
          <w:p w:rsidR="00FC7F83" w:rsidRPr="002341DB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  <w:p w:rsidR="00FC7F83" w:rsidRPr="00B04FDE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районного бюджета муниципального района «Забайкальский район»</w:t>
            </w:r>
          </w:p>
          <w:p w:rsidR="00FC7F83" w:rsidRPr="00B04FDE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ru-RU"/>
              </w:rPr>
            </w:pPr>
          </w:p>
        </w:tc>
      </w:tr>
      <w:tr w:rsidR="00FC7F83" w:rsidRPr="002B6BAD" w:rsidTr="00552CCE">
        <w:trPr>
          <w:trHeight w:val="259"/>
        </w:trPr>
        <w:tc>
          <w:tcPr>
            <w:tcW w:w="11198" w:type="dxa"/>
            <w:gridSpan w:val="6"/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Структура расходов </w:t>
            </w:r>
          </w:p>
        </w:tc>
      </w:tr>
    </w:tbl>
    <w:p w:rsidR="00FC7F83" w:rsidRDefault="00127A18" w:rsidP="00B71D03">
      <w:pPr>
        <w:spacing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7162800" cy="5372100"/>
            <wp:effectExtent l="0" t="0" r="3810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bookmarkStart w:id="0" w:name="_GoBack"/>
      <w:bookmarkEnd w:id="0"/>
    </w:p>
    <w:p w:rsidR="00200C58" w:rsidRDefault="00200C58" w:rsidP="00B71D03">
      <w:pPr>
        <w:spacing w:line="240" w:lineRule="auto"/>
        <w:rPr>
          <w:lang w:val="en-US"/>
        </w:rPr>
      </w:pPr>
    </w:p>
    <w:tbl>
      <w:tblPr>
        <w:tblW w:w="11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8"/>
        <w:gridCol w:w="709"/>
        <w:gridCol w:w="567"/>
        <w:gridCol w:w="141"/>
        <w:gridCol w:w="710"/>
        <w:gridCol w:w="757"/>
        <w:gridCol w:w="660"/>
        <w:gridCol w:w="709"/>
        <w:gridCol w:w="1096"/>
        <w:gridCol w:w="133"/>
        <w:gridCol w:w="1322"/>
      </w:tblGrid>
      <w:tr w:rsidR="00FC7F83" w:rsidRPr="002B6BAD" w:rsidTr="00552CCE">
        <w:trPr>
          <w:trHeight w:val="349"/>
        </w:trPr>
        <w:tc>
          <w:tcPr>
            <w:tcW w:w="11198" w:type="dxa"/>
            <w:gridSpan w:val="12"/>
            <w:shd w:val="clear" w:color="auto" w:fill="8DB3E2"/>
          </w:tcPr>
          <w:p w:rsidR="00FC7F83" w:rsidRPr="00127E13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i/>
                <w:iCs/>
                <w:sz w:val="8"/>
                <w:szCs w:val="8"/>
              </w:rPr>
            </w:pPr>
          </w:p>
          <w:p w:rsidR="00FC7F83" w:rsidRPr="00D74DD1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Поступление доходов в бюджеты поселений (тыс.руб.)</w:t>
            </w:r>
          </w:p>
          <w:p w:rsidR="00FC7F83" w:rsidRPr="00D74DD1" w:rsidRDefault="00FC7F83" w:rsidP="00B71D03">
            <w:pPr>
              <w:spacing w:after="0" w:line="240" w:lineRule="auto"/>
              <w:ind w:right="-108" w:hanging="108"/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FC7F83" w:rsidRPr="002B6BAD" w:rsidTr="00552CCE">
        <w:trPr>
          <w:trHeight w:val="912"/>
        </w:trPr>
        <w:tc>
          <w:tcPr>
            <w:tcW w:w="4394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417" w:type="dxa"/>
            <w:gridSpan w:val="3"/>
            <w:shd w:val="clear" w:color="auto" w:fill="FFFF66"/>
          </w:tcPr>
          <w:p w:rsidR="00FC7F83" w:rsidRPr="002B6BAD" w:rsidRDefault="00FC7F83" w:rsidP="00547643">
            <w:pPr>
              <w:spacing w:after="0" w:line="240" w:lineRule="auto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Исполнено на 01.</w:t>
            </w:r>
            <w:r w:rsidR="00DC355D">
              <w:rPr>
                <w:i/>
                <w:iCs/>
                <w:sz w:val="20"/>
                <w:szCs w:val="20"/>
              </w:rPr>
              <w:t>07</w:t>
            </w:r>
            <w:r w:rsidR="00547643">
              <w:rPr>
                <w:i/>
                <w:iCs/>
                <w:sz w:val="20"/>
                <w:szCs w:val="20"/>
              </w:rPr>
              <w:t>.</w:t>
            </w:r>
            <w:r w:rsidRPr="002B6BAD">
              <w:rPr>
                <w:i/>
                <w:iCs/>
                <w:sz w:val="20"/>
                <w:szCs w:val="20"/>
              </w:rPr>
              <w:t>201</w:t>
            </w:r>
            <w:r w:rsidR="00547643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67" w:type="dxa"/>
            <w:gridSpan w:val="2"/>
            <w:shd w:val="clear" w:color="auto" w:fill="FFFF66"/>
          </w:tcPr>
          <w:p w:rsidR="00FC7F83" w:rsidRPr="00836EED" w:rsidRDefault="00FC7F83" w:rsidP="00DA0F48">
            <w:pPr>
              <w:pStyle w:val="4"/>
              <w:ind w:left="-86" w:right="-108" w:firstLine="0"/>
              <w:jc w:val="center"/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547643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>5</w:t>
            </w:r>
            <w:r w:rsidRPr="00836EED">
              <w:rPr>
                <w:rFonts w:ascii="Calibri" w:hAnsi="Calibri" w:cs="Calibri"/>
                <w:b w:val="0"/>
                <w:bCs w:val="0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369" w:type="dxa"/>
            <w:gridSpan w:val="2"/>
            <w:shd w:val="clear" w:color="auto" w:fill="FFFF66"/>
          </w:tcPr>
          <w:p w:rsidR="00FC7F83" w:rsidRPr="002B6BAD" w:rsidRDefault="00547643" w:rsidP="00DC355D">
            <w:pPr>
              <w:spacing w:after="0" w:line="240" w:lineRule="auto"/>
              <w:ind w:left="-69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Фактически поступило на 01.0</w:t>
            </w:r>
            <w:r w:rsidR="00DC355D">
              <w:rPr>
                <w:i/>
                <w:iCs/>
                <w:sz w:val="20"/>
                <w:szCs w:val="20"/>
              </w:rPr>
              <w:t>7</w:t>
            </w:r>
            <w:r w:rsidR="00FC7F83" w:rsidRPr="002B6BAD">
              <w:rPr>
                <w:i/>
                <w:iCs/>
                <w:sz w:val="20"/>
                <w:szCs w:val="20"/>
              </w:rPr>
              <w:t>.201</w:t>
            </w:r>
            <w:r w:rsidR="00B65614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229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ind w:right="-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322" w:type="dxa"/>
            <w:shd w:val="clear" w:color="auto" w:fill="FFFF66"/>
          </w:tcPr>
          <w:p w:rsidR="00FC7F83" w:rsidRPr="002B6BAD" w:rsidRDefault="00FC7F83" w:rsidP="00B71D03">
            <w:pPr>
              <w:spacing w:after="0" w:line="240" w:lineRule="auto"/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 xml:space="preserve">% </w:t>
            </w:r>
          </w:p>
          <w:p w:rsidR="00FC7F83" w:rsidRPr="002B6BAD" w:rsidRDefault="00FC7F83" w:rsidP="00DA0F48">
            <w:pPr>
              <w:spacing w:after="0" w:line="240" w:lineRule="auto"/>
              <w:ind w:right="-108" w:hanging="108"/>
              <w:jc w:val="center"/>
              <w:rPr>
                <w:i/>
                <w:iCs/>
                <w:sz w:val="20"/>
                <w:szCs w:val="20"/>
              </w:rPr>
            </w:pPr>
            <w:r w:rsidRPr="002B6BAD">
              <w:rPr>
                <w:i/>
                <w:iCs/>
                <w:sz w:val="20"/>
                <w:szCs w:val="20"/>
              </w:rPr>
              <w:t>исполнения 201</w:t>
            </w:r>
            <w:r w:rsidR="00547643">
              <w:rPr>
                <w:i/>
                <w:iCs/>
                <w:sz w:val="20"/>
                <w:szCs w:val="20"/>
              </w:rPr>
              <w:t>5</w:t>
            </w:r>
            <w:r w:rsidR="00B002F7">
              <w:rPr>
                <w:i/>
                <w:iCs/>
                <w:sz w:val="20"/>
                <w:szCs w:val="20"/>
              </w:rPr>
              <w:t xml:space="preserve"> к 201</w:t>
            </w:r>
            <w:r w:rsidR="00547643">
              <w:rPr>
                <w:i/>
                <w:iCs/>
                <w:sz w:val="20"/>
                <w:szCs w:val="20"/>
              </w:rPr>
              <w:t>4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836EED" w:rsidRDefault="00CC187C" w:rsidP="00B95899">
            <w:pPr>
              <w:pStyle w:val="1"/>
              <w:rPr>
                <w:rFonts w:ascii="Calibri" w:hAnsi="Calibri" w:cs="Calibri"/>
              </w:rPr>
            </w:pPr>
            <w:r w:rsidRPr="00836EED">
              <w:rPr>
                <w:rFonts w:ascii="Calibri" w:hAnsi="Calibri" w:cs="Calibri"/>
              </w:rPr>
              <w:t xml:space="preserve">Налоговые и неналоговые доходы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4C0D29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  <w:r w:rsidR="00127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935,9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4C0D29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</w:t>
            </w:r>
            <w:r w:rsidR="00127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578,5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4C0D29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  <w:r w:rsidR="00127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629,8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F535C2" w:rsidRDefault="004C0D29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F535C2" w:rsidRDefault="004C0D29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 на доходы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4C0D29" w:rsidP="00605BCB">
            <w:pPr>
              <w:jc w:val="center"/>
            </w:pPr>
            <w:r>
              <w:t>21</w:t>
            </w:r>
            <w:r w:rsidR="00127A18">
              <w:t xml:space="preserve"> </w:t>
            </w:r>
            <w:r>
              <w:t>949,6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4C0D29" w:rsidP="00605BCB">
            <w:pPr>
              <w:jc w:val="center"/>
            </w:pPr>
            <w:r>
              <w:t>30</w:t>
            </w:r>
            <w:r w:rsidR="00127A18">
              <w:t xml:space="preserve"> </w:t>
            </w:r>
            <w:r>
              <w:t>544,7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4C0D29" w:rsidP="00605BCB">
            <w:pPr>
              <w:jc w:val="center"/>
            </w:pPr>
            <w:r>
              <w:t>13</w:t>
            </w:r>
            <w:r w:rsidR="00127A18">
              <w:t xml:space="preserve"> </w:t>
            </w:r>
            <w:r>
              <w:t>778,4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4C0D29" w:rsidP="00605BCB">
            <w:pPr>
              <w:jc w:val="center"/>
            </w:pPr>
            <w:r>
              <w:t>45,1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4C0D29" w:rsidP="00605BCB">
            <w:pPr>
              <w:jc w:val="center"/>
            </w:pPr>
            <w:r>
              <w:t>62,8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Акцизы по подакцизным товарам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4C0D29" w:rsidP="00605BCB">
            <w:pPr>
              <w:jc w:val="center"/>
            </w:pPr>
            <w:r>
              <w:t>1</w:t>
            </w:r>
            <w:r w:rsidR="00127A18">
              <w:t xml:space="preserve"> </w:t>
            </w:r>
            <w:r>
              <w:t>411,2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4C0D29" w:rsidP="00605BCB">
            <w:pPr>
              <w:jc w:val="center"/>
            </w:pPr>
            <w:r>
              <w:t>3</w:t>
            </w:r>
            <w:r w:rsidR="00127A18">
              <w:t xml:space="preserve"> </w:t>
            </w:r>
            <w:r>
              <w:t>080,0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4C0D29" w:rsidP="00605BCB">
            <w:pPr>
              <w:jc w:val="center"/>
            </w:pPr>
            <w:r>
              <w:t>1</w:t>
            </w:r>
            <w:r w:rsidR="00127A18">
              <w:t xml:space="preserve"> </w:t>
            </w:r>
            <w:r>
              <w:t>129,8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4C0D29" w:rsidP="00605BCB">
            <w:pPr>
              <w:jc w:val="center"/>
            </w:pPr>
            <w:r>
              <w:t>36,7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4C0D29" w:rsidP="00605BCB">
            <w:pPr>
              <w:jc w:val="center"/>
            </w:pPr>
            <w:r>
              <w:t>80,1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Налоги на совокупный доход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4C0D29" w:rsidP="00605BCB">
            <w:pPr>
              <w:jc w:val="center"/>
            </w:pPr>
            <w:r>
              <w:t>16,8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4C0D29" w:rsidP="00605BCB">
            <w:pPr>
              <w:jc w:val="center"/>
            </w:pPr>
            <w:r>
              <w:t>35,1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4C0D29" w:rsidP="00605BCB">
            <w:pPr>
              <w:jc w:val="center"/>
            </w:pPr>
            <w:r>
              <w:t>42,1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4C0D29" w:rsidP="00605BCB">
            <w:pPr>
              <w:jc w:val="center"/>
            </w:pPr>
            <w:r>
              <w:t>119,9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4C0D29" w:rsidP="00605BCB">
            <w:pPr>
              <w:jc w:val="center"/>
            </w:pPr>
            <w:r>
              <w:t xml:space="preserve">в 2,5 </w:t>
            </w:r>
            <w:proofErr w:type="gramStart"/>
            <w:r>
              <w:t>р</w:t>
            </w:r>
            <w:proofErr w:type="gramEnd"/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Налог на имущество физических лиц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59738C">
            <w:pPr>
              <w:jc w:val="center"/>
            </w:pPr>
            <w:r>
              <w:t>248,2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1362,8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266,9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19,8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B04CC1" w:rsidP="00605BCB">
            <w:pPr>
              <w:jc w:val="center"/>
            </w:pPr>
            <w:r>
              <w:t>107,5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81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Земельный налог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6</w:t>
            </w:r>
            <w:r w:rsidR="00127A18">
              <w:t xml:space="preserve"> </w:t>
            </w:r>
            <w:r>
              <w:t>660,1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13</w:t>
            </w:r>
            <w:r w:rsidR="00127A18">
              <w:t xml:space="preserve"> </w:t>
            </w:r>
            <w:r>
              <w:t>554,7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7</w:t>
            </w:r>
            <w:r w:rsidR="00127A18">
              <w:t xml:space="preserve"> </w:t>
            </w:r>
            <w:r>
              <w:t>598,9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56,1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B04CC1" w:rsidP="00605BCB">
            <w:pPr>
              <w:jc w:val="center"/>
            </w:pPr>
            <w:r>
              <w:t>114,1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D0C37" w:rsidRDefault="00CC187C" w:rsidP="00B95899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 w:rsidRPr="002D0C37">
              <w:rPr>
                <w:rFonts w:ascii="Calibri" w:hAnsi="Calibri" w:cs="Calibri"/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34,7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46,0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29,0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63,0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B04CC1" w:rsidP="00605BCB">
            <w:pPr>
              <w:jc w:val="center"/>
            </w:pPr>
            <w:r>
              <w:t>83,6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D0C37" w:rsidRDefault="00CC187C" w:rsidP="00B95899">
            <w:pPr>
              <w:pStyle w:val="a5"/>
              <w:tabs>
                <w:tab w:val="left" w:pos="708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Задолженность по отмененным налогам и сборам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B04CC1" w:rsidP="00605BCB">
            <w:pPr>
              <w:jc w:val="center"/>
            </w:pPr>
            <w:r>
              <w:t>-28,0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B04CC1" w:rsidP="00605BCB">
            <w:pPr>
              <w:jc w:val="center"/>
            </w:pPr>
            <w:r>
              <w:t>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B04CC1" w:rsidP="00605BCB">
            <w:pPr>
              <w:jc w:val="center"/>
            </w:pPr>
            <w:r>
              <w:t>0,0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B04CC1" w:rsidP="00605BCB">
            <w:pPr>
              <w:jc w:val="center"/>
            </w:pPr>
            <w:r>
              <w:t>0,0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2B6BAD">
              <w:t xml:space="preserve">Доходы от использования имущества, находящегося в государственной  и муниципальной собственности    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17</w:t>
            </w:r>
            <w:r w:rsidR="00127A18">
              <w:t xml:space="preserve"> </w:t>
            </w:r>
            <w:r>
              <w:t>361,1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14</w:t>
            </w:r>
            <w:r w:rsidR="00127A18">
              <w:t xml:space="preserve"> </w:t>
            </w:r>
            <w:r>
              <w:t>757,2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13</w:t>
            </w:r>
            <w:r w:rsidR="00127A18">
              <w:t xml:space="preserve"> </w:t>
            </w:r>
            <w:r>
              <w:t>929,5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94,4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B04CC1" w:rsidP="00605BCB">
            <w:pPr>
              <w:jc w:val="center"/>
            </w:pPr>
            <w:r>
              <w:t>80,2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B04CC1" w:rsidP="00605BCB">
            <w:pPr>
              <w:jc w:val="center"/>
            </w:pPr>
            <w:r>
              <w:t>25,3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B04CC1" w:rsidP="00605BCB">
            <w:pPr>
              <w:jc w:val="center"/>
            </w:pPr>
            <w:r>
              <w:t>8,0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59,9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 xml:space="preserve">в 7,4 </w:t>
            </w:r>
            <w:proofErr w:type="gramStart"/>
            <w:r>
              <w:t>р</w:t>
            </w:r>
            <w:proofErr w:type="gramEnd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B04CC1" w:rsidP="00605BCB">
            <w:pPr>
              <w:jc w:val="center"/>
            </w:pPr>
            <w:r>
              <w:t xml:space="preserve">в 2,3 </w:t>
            </w:r>
            <w:proofErr w:type="gramStart"/>
            <w:r>
              <w:t>р</w:t>
            </w:r>
            <w:proofErr w:type="gramEnd"/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2</w:t>
            </w:r>
            <w:r w:rsidR="00127A18">
              <w:t xml:space="preserve"> </w:t>
            </w:r>
            <w:r>
              <w:t>105,5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1</w:t>
            </w:r>
            <w:r w:rsidR="00127A18">
              <w:t xml:space="preserve"> </w:t>
            </w:r>
            <w:r>
              <w:t>674,0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747,5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A7145F">
            <w:pPr>
              <w:jc w:val="center"/>
            </w:pPr>
            <w:r>
              <w:t>44,7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B04CC1" w:rsidP="00605BCB">
            <w:pPr>
              <w:jc w:val="center"/>
            </w:pPr>
            <w:r>
              <w:t>35,5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jc w:val="both"/>
            </w:pPr>
            <w:r w:rsidRPr="002B6BAD">
              <w:t xml:space="preserve">Штрафы, санкции, возмещение ущерба 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78,7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327,0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24,6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</w:pPr>
            <w:r>
              <w:t>7,5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B04CC1" w:rsidP="00605BCB">
            <w:pPr>
              <w:jc w:val="center"/>
            </w:pPr>
            <w:r>
              <w:t>31,3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Прочие неналоговые доходы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72,7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189,0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23,2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C16F53" w:rsidRDefault="00B04CC1" w:rsidP="00605BC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12,3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580463" w:rsidRDefault="00B04CC1" w:rsidP="00605BCB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31,9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  <w:rPr>
                <w:b/>
                <w:bCs/>
              </w:rPr>
            </w:pPr>
            <w:r w:rsidRPr="002B6BAD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B04CC1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127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986,2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B04CC1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127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432,7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B04CC1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="00127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815,0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B04CC1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B04CC1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135,4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>Безвозмездные поступления от других бюджетов бюджетной системы, из них: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27A18">
              <w:rPr>
                <w:bCs/>
              </w:rPr>
              <w:t xml:space="preserve"> </w:t>
            </w:r>
            <w:r>
              <w:rPr>
                <w:bCs/>
              </w:rPr>
              <w:t>986,2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127A18">
              <w:rPr>
                <w:bCs/>
              </w:rPr>
              <w:t xml:space="preserve"> </w:t>
            </w:r>
            <w:r>
              <w:rPr>
                <w:bCs/>
              </w:rPr>
              <w:t>118,2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127A18">
              <w:rPr>
                <w:bCs/>
              </w:rPr>
              <w:t xml:space="preserve"> </w:t>
            </w:r>
            <w:r>
              <w:rPr>
                <w:bCs/>
              </w:rPr>
              <w:t>500,5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41,5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156,5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 xml:space="preserve">Дотации бюджетам </w:t>
            </w:r>
            <w:r>
              <w:t>поселений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  <w:r w:rsidR="00127A18">
              <w:rPr>
                <w:bCs/>
              </w:rPr>
              <w:t xml:space="preserve"> </w:t>
            </w:r>
            <w:r>
              <w:rPr>
                <w:bCs/>
              </w:rPr>
              <w:t>176,8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  <w:r w:rsidR="00127A18">
              <w:rPr>
                <w:bCs/>
              </w:rPr>
              <w:t xml:space="preserve"> </w:t>
            </w:r>
            <w:r>
              <w:rPr>
                <w:bCs/>
              </w:rPr>
              <w:t>267,9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127A18">
              <w:rPr>
                <w:bCs/>
              </w:rPr>
              <w:t xml:space="preserve"> </w:t>
            </w:r>
            <w:r>
              <w:rPr>
                <w:bCs/>
              </w:rPr>
              <w:t>454,1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68,9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117,8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Субсидии бюджетам  бюджетной системы Российской Федерации (межбюджетные субсидии)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27A18">
              <w:rPr>
                <w:bCs/>
              </w:rPr>
              <w:t xml:space="preserve"> </w:t>
            </w:r>
            <w:r>
              <w:rPr>
                <w:bCs/>
              </w:rPr>
              <w:t>283,6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 w:rsidRPr="002B6BAD">
              <w:t xml:space="preserve">Субвенции бюджетам субъектов РФ и  муниципальных образований 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705,7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27A18">
              <w:rPr>
                <w:bCs/>
              </w:rPr>
              <w:t xml:space="preserve"> </w:t>
            </w:r>
            <w:r>
              <w:rPr>
                <w:bCs/>
              </w:rPr>
              <w:t>274,3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695,0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54,5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98,5</w:t>
            </w:r>
          </w:p>
        </w:tc>
      </w:tr>
      <w:tr w:rsidR="00B04CC1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1" w:rsidRPr="002B6BAD" w:rsidRDefault="00B04CC1" w:rsidP="00B95899">
            <w:pPr>
              <w:spacing w:after="0" w:line="240" w:lineRule="auto"/>
            </w:pPr>
            <w:r>
              <w:t>Иные межбюджетные трансферты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1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1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  <w:r w:rsidR="00127A18">
              <w:rPr>
                <w:bCs/>
              </w:rPr>
              <w:t xml:space="preserve"> </w:t>
            </w:r>
            <w:r>
              <w:rPr>
                <w:bCs/>
              </w:rPr>
              <w:t>292,4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1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127A18">
              <w:rPr>
                <w:bCs/>
              </w:rPr>
              <w:t xml:space="preserve"> </w:t>
            </w:r>
            <w:r>
              <w:rPr>
                <w:bCs/>
              </w:rPr>
              <w:t>351,4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CC1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25,2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4CC1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C187C" w:rsidRPr="002B6BAD" w:rsidTr="00280B0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16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B95899">
            <w:pPr>
              <w:spacing w:after="0" w:line="240" w:lineRule="auto"/>
            </w:pPr>
            <w:r>
              <w:t>Прочие безвозмездные поступления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103,8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C187C" w:rsidRPr="002B6BAD" w:rsidTr="00552CCE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2B6BAD" w:rsidRDefault="00CC187C" w:rsidP="00A7145F">
            <w:pPr>
              <w:spacing w:after="0" w:line="240" w:lineRule="auto"/>
            </w:pPr>
            <w:r w:rsidRPr="002B6BAD"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A7145F">
              <w:t>поселений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127A18">
              <w:rPr>
                <w:bCs/>
              </w:rPr>
              <w:t xml:space="preserve"> </w:t>
            </w:r>
            <w:r>
              <w:rPr>
                <w:bCs/>
              </w:rPr>
              <w:t>685,5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-1</w:t>
            </w:r>
            <w:r w:rsidR="00127A18">
              <w:rPr>
                <w:bCs/>
              </w:rPr>
              <w:t xml:space="preserve"> </w:t>
            </w:r>
            <w:r>
              <w:rPr>
                <w:bCs/>
              </w:rPr>
              <w:t>685,5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Pr="00417D8F" w:rsidRDefault="00B04CC1" w:rsidP="00605BC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CC187C" w:rsidRPr="002B6BAD" w:rsidTr="00C642B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836EED" w:rsidRDefault="00CC187C" w:rsidP="000A632A">
            <w:pPr>
              <w:pStyle w:val="a5"/>
              <w:tabs>
                <w:tab w:val="clear" w:pos="4677"/>
                <w:tab w:val="clear" w:pos="9355"/>
                <w:tab w:val="left" w:pos="708"/>
                <w:tab w:val="right" w:pos="4178"/>
              </w:tabs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523C1F" w:rsidRDefault="00B04CC1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  <w:r w:rsidR="00127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922,1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B04CC1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</w:t>
            </w:r>
            <w:r w:rsidR="00127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011,2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B04CC1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  <w:r w:rsidR="00127A1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444,8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87C" w:rsidRPr="00A328A8" w:rsidRDefault="00B04CC1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187C" w:rsidRDefault="00B04CC1" w:rsidP="00605B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83,6</w:t>
            </w:r>
          </w:p>
        </w:tc>
      </w:tr>
      <w:tr w:rsidR="0042141F" w:rsidRPr="002B6BAD" w:rsidTr="00C642BC">
        <w:tblPrEx>
          <w:tblLook w:val="00A0" w:firstRow="1" w:lastRow="0" w:firstColumn="1" w:lastColumn="0" w:noHBand="0" w:noVBand="0"/>
        </w:tblPrEx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7401F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7401FE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6940D2">
        <w:tblPrEx>
          <w:tblLook w:val="00A0" w:firstRow="1" w:lastRow="0" w:firstColumn="1" w:lastColumn="0" w:noHBand="0" w:noVBand="0"/>
        </w:tblPrEx>
        <w:trPr>
          <w:trHeight w:val="19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Default="00200C58" w:rsidP="00127A18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200C58" w:rsidRPr="002B6BAD" w:rsidRDefault="00200C58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266F39">
        <w:tblPrEx>
          <w:tblLook w:val="00A0" w:firstRow="1" w:lastRow="0" w:firstColumn="1" w:lastColumn="0" w:noHBand="0" w:noVBand="0"/>
        </w:tblPrEx>
        <w:trPr>
          <w:trHeight w:val="425"/>
        </w:trPr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6F39" w:rsidRPr="00B9795A" w:rsidRDefault="00266F39" w:rsidP="00226FD1">
            <w:pPr>
              <w:spacing w:after="0" w:line="240" w:lineRule="auto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141F" w:rsidRPr="00B9795A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2141F" w:rsidRPr="002B6BAD" w:rsidTr="00C642BC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tcBorders>
              <w:top w:val="single" w:sz="4" w:space="0" w:color="auto"/>
            </w:tcBorders>
            <w:shd w:val="clear" w:color="auto" w:fill="8DB3E2"/>
            <w:vAlign w:val="center"/>
          </w:tcPr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городского и сельских поселений (тыс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уб.)</w:t>
            </w:r>
          </w:p>
          <w:p w:rsidR="0042141F" w:rsidRPr="002341DB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86" w:type="dxa"/>
            <w:vMerge w:val="restart"/>
            <w:shd w:val="clear" w:color="auto" w:fill="FFFF66"/>
            <w:vAlign w:val="bottom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2B6BAD">
              <w:rPr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vMerge w:val="restart"/>
            <w:shd w:val="clear" w:color="auto" w:fill="FFFF66"/>
            <w:vAlign w:val="center"/>
          </w:tcPr>
          <w:p w:rsidR="0042141F" w:rsidRPr="00FC45A1" w:rsidRDefault="0042141F" w:rsidP="00DC355D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C355D">
              <w:rPr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40" w:type="dxa"/>
            <w:gridSpan w:val="7"/>
            <w:shd w:val="clear" w:color="auto" w:fill="FFFF66"/>
            <w:vAlign w:val="center"/>
          </w:tcPr>
          <w:p w:rsidR="0042141F" w:rsidRPr="002B6BAD" w:rsidRDefault="0042141F" w:rsidP="00944196">
            <w:pPr>
              <w:spacing w:after="0" w:line="240" w:lineRule="auto"/>
              <w:jc w:val="center"/>
              <w:rPr>
                <w:i/>
                <w:iCs/>
                <w:color w:val="000000"/>
                <w:lang w:eastAsia="ru-RU"/>
              </w:rPr>
            </w:pPr>
            <w:r w:rsidRPr="002B6BAD">
              <w:rPr>
                <w:i/>
                <w:iCs/>
                <w:color w:val="000000"/>
                <w:lang w:eastAsia="ru-RU"/>
              </w:rPr>
              <w:t>201</w:t>
            </w:r>
            <w:r w:rsidR="00944196">
              <w:rPr>
                <w:i/>
                <w:iCs/>
                <w:color w:val="000000"/>
                <w:lang w:eastAsia="ru-RU"/>
              </w:rPr>
              <w:t>5</w:t>
            </w:r>
            <w:r w:rsidRPr="002B6BAD">
              <w:rPr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455" w:type="dxa"/>
            <w:gridSpan w:val="2"/>
            <w:vMerge w:val="restart"/>
            <w:shd w:val="clear" w:color="auto" w:fill="FFFF66"/>
            <w:vAlign w:val="center"/>
          </w:tcPr>
          <w:p w:rsidR="0042141F" w:rsidRPr="002B6BAD" w:rsidRDefault="0042141F" w:rsidP="00944196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944196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944196">
              <w:rPr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3686" w:type="dxa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назначения на год</w:t>
            </w:r>
          </w:p>
        </w:tc>
        <w:tc>
          <w:tcPr>
            <w:tcW w:w="1417" w:type="dxa"/>
            <w:gridSpan w:val="2"/>
            <w:shd w:val="clear" w:color="auto" w:fill="FFFF66"/>
            <w:vAlign w:val="center"/>
          </w:tcPr>
          <w:p w:rsidR="0042141F" w:rsidRPr="00FC45A1" w:rsidRDefault="0042141F" w:rsidP="00DC355D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val="en-US"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="00DC355D">
              <w:rPr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127E13">
              <w:rPr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05" w:type="dxa"/>
            <w:gridSpan w:val="2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455" w:type="dxa"/>
            <w:gridSpan w:val="2"/>
            <w:vMerge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A18" w:rsidP="00234C3C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24 124,2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41 595,4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23 822,0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57,3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-302,2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0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A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629,7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1 272,3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684,6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53,8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54,9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37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A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815,8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525,2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202,8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38,6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-613,0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5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A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614,3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12 250,7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517,5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-96,8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49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A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15 386,0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23 321,8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13 449,1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57,7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-1 936,9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07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127A18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4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9 960,5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17 069,6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8 050,6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-1 909,9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29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334,5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545,1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85,9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-248,6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61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2 742,4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4 315,6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3 691,9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85,5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949,5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65"/>
        </w:trPr>
        <w:tc>
          <w:tcPr>
            <w:tcW w:w="3686" w:type="dxa"/>
            <w:vAlign w:val="bottom"/>
          </w:tcPr>
          <w:p w:rsidR="0042141F" w:rsidRDefault="0042141F" w:rsidP="00234C3C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98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164,4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313,4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36,6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-127,8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223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2141F" w:rsidRPr="002B6BAD" w:rsidTr="00C060EA">
        <w:tblPrEx>
          <w:tblLook w:val="00A0" w:firstRow="1" w:lastRow="0" w:firstColumn="1" w:lastColumn="0" w:noHBand="0" w:noVBand="0"/>
        </w:tblPrEx>
        <w:trPr>
          <w:trHeight w:val="120"/>
        </w:trPr>
        <w:tc>
          <w:tcPr>
            <w:tcW w:w="3686" w:type="dxa"/>
            <w:vAlign w:val="bottom"/>
          </w:tcPr>
          <w:p w:rsidR="0042141F" w:rsidRDefault="0042141F" w:rsidP="00F17144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54 771,8</w:t>
            </w:r>
          </w:p>
        </w:tc>
        <w:tc>
          <w:tcPr>
            <w:tcW w:w="1418" w:type="dxa"/>
            <w:gridSpan w:val="3"/>
            <w:vAlign w:val="bottom"/>
          </w:tcPr>
          <w:p w:rsidR="0042141F" w:rsidRDefault="006F4D42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101 209,1</w:t>
            </w:r>
          </w:p>
        </w:tc>
        <w:tc>
          <w:tcPr>
            <w:tcW w:w="1417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50 541,0</w:t>
            </w:r>
          </w:p>
        </w:tc>
        <w:tc>
          <w:tcPr>
            <w:tcW w:w="1805" w:type="dxa"/>
            <w:gridSpan w:val="2"/>
            <w:noWrap/>
            <w:vAlign w:val="bottom"/>
          </w:tcPr>
          <w:p w:rsidR="0042141F" w:rsidRDefault="006F4D42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49,9</w:t>
            </w:r>
          </w:p>
        </w:tc>
        <w:tc>
          <w:tcPr>
            <w:tcW w:w="1455" w:type="dxa"/>
            <w:gridSpan w:val="2"/>
            <w:vAlign w:val="bottom"/>
          </w:tcPr>
          <w:p w:rsidR="0042141F" w:rsidRDefault="006F4D42" w:rsidP="00F17144">
            <w:pPr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-4 230,8</w:t>
            </w: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vMerge w:val="restart"/>
            <w:shd w:val="clear" w:color="auto" w:fill="8DB3E2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Расходы городского и сельских поселений (тыс</w:t>
            </w:r>
            <w:proofErr w:type="gramStart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уб.)</w:t>
            </w: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293"/>
        </w:trPr>
        <w:tc>
          <w:tcPr>
            <w:tcW w:w="11198" w:type="dxa"/>
            <w:gridSpan w:val="12"/>
            <w:vMerge/>
            <w:shd w:val="clear" w:color="auto" w:fill="8DB3E2"/>
            <w:vAlign w:val="center"/>
          </w:tcPr>
          <w:p w:rsidR="0042141F" w:rsidRPr="002B6BAD" w:rsidRDefault="0042141F" w:rsidP="00B71D03">
            <w:pPr>
              <w:spacing w:after="0" w:line="240" w:lineRule="auto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141F" w:rsidRPr="002B6BAD" w:rsidTr="00552CCE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11198" w:type="dxa"/>
            <w:gridSpan w:val="12"/>
            <w:shd w:val="clear" w:color="auto" w:fill="FFFF66"/>
            <w:vAlign w:val="center"/>
          </w:tcPr>
          <w:p w:rsidR="0042141F" w:rsidRPr="002B6BAD" w:rsidRDefault="0042141F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Структура расходов </w:t>
            </w:r>
          </w:p>
        </w:tc>
      </w:tr>
    </w:tbl>
    <w:p w:rsidR="00FC7F83" w:rsidRDefault="006F4D42" w:rsidP="00B71D03">
      <w:pPr>
        <w:spacing w:line="240" w:lineRule="auto"/>
      </w:pPr>
      <w:r>
        <w:rPr>
          <w:noProof/>
          <w:lang w:eastAsia="ru-RU"/>
        </w:rPr>
        <w:drawing>
          <wp:inline distT="0" distB="0" distL="0" distR="0">
            <wp:extent cx="7096125" cy="44005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AB" w:rsidRDefault="00F530AB" w:rsidP="0053004B">
      <w:pPr>
        <w:spacing w:after="0" w:line="240" w:lineRule="auto"/>
      </w:pPr>
      <w:r>
        <w:separator/>
      </w:r>
    </w:p>
  </w:endnote>
  <w:endnote w:type="continuationSeparator" w:id="0">
    <w:p w:rsidR="00F530AB" w:rsidRDefault="00F530AB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AB" w:rsidRDefault="00F530AB" w:rsidP="0053004B">
      <w:pPr>
        <w:spacing w:after="0" w:line="240" w:lineRule="auto"/>
      </w:pPr>
      <w:r>
        <w:separator/>
      </w:r>
    </w:p>
  </w:footnote>
  <w:footnote w:type="continuationSeparator" w:id="0">
    <w:p w:rsidR="00F530AB" w:rsidRDefault="00F530AB" w:rsidP="005300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5"/>
    <w:rsid w:val="00001877"/>
    <w:rsid w:val="00005F2E"/>
    <w:rsid w:val="00007158"/>
    <w:rsid w:val="00013552"/>
    <w:rsid w:val="00036D2B"/>
    <w:rsid w:val="000473A0"/>
    <w:rsid w:val="0005174A"/>
    <w:rsid w:val="000604A7"/>
    <w:rsid w:val="00061BD6"/>
    <w:rsid w:val="000621E9"/>
    <w:rsid w:val="00063BA6"/>
    <w:rsid w:val="00073091"/>
    <w:rsid w:val="00080B49"/>
    <w:rsid w:val="00087B2B"/>
    <w:rsid w:val="000915CB"/>
    <w:rsid w:val="00092ACD"/>
    <w:rsid w:val="000A0600"/>
    <w:rsid w:val="000A2339"/>
    <w:rsid w:val="000A3748"/>
    <w:rsid w:val="000A632A"/>
    <w:rsid w:val="000B3E76"/>
    <w:rsid w:val="000B3FF4"/>
    <w:rsid w:val="000B631B"/>
    <w:rsid w:val="000C0697"/>
    <w:rsid w:val="000C4D19"/>
    <w:rsid w:val="000D2182"/>
    <w:rsid w:val="000D3293"/>
    <w:rsid w:val="000D3F1D"/>
    <w:rsid w:val="000E0B75"/>
    <w:rsid w:val="000E201F"/>
    <w:rsid w:val="000E5328"/>
    <w:rsid w:val="000E5CB4"/>
    <w:rsid w:val="000F4CFF"/>
    <w:rsid w:val="000F5038"/>
    <w:rsid w:val="000F7ED9"/>
    <w:rsid w:val="00102E8B"/>
    <w:rsid w:val="00112121"/>
    <w:rsid w:val="00112E81"/>
    <w:rsid w:val="00126CF8"/>
    <w:rsid w:val="00127A18"/>
    <w:rsid w:val="00127E13"/>
    <w:rsid w:val="0013359A"/>
    <w:rsid w:val="001418E7"/>
    <w:rsid w:val="00146575"/>
    <w:rsid w:val="001510FB"/>
    <w:rsid w:val="00152FD8"/>
    <w:rsid w:val="00155CF7"/>
    <w:rsid w:val="001579F3"/>
    <w:rsid w:val="0016165C"/>
    <w:rsid w:val="0016324B"/>
    <w:rsid w:val="00170FA3"/>
    <w:rsid w:val="001721E3"/>
    <w:rsid w:val="00174684"/>
    <w:rsid w:val="00182E0E"/>
    <w:rsid w:val="00192E7E"/>
    <w:rsid w:val="00193AED"/>
    <w:rsid w:val="001B2FB8"/>
    <w:rsid w:val="001C2E58"/>
    <w:rsid w:val="001C682F"/>
    <w:rsid w:val="001D3004"/>
    <w:rsid w:val="001D36C7"/>
    <w:rsid w:val="001E129E"/>
    <w:rsid w:val="001E3EC3"/>
    <w:rsid w:val="001E7E7A"/>
    <w:rsid w:val="00200C58"/>
    <w:rsid w:val="00204418"/>
    <w:rsid w:val="00212341"/>
    <w:rsid w:val="00214AF5"/>
    <w:rsid w:val="00223603"/>
    <w:rsid w:val="00224CAC"/>
    <w:rsid w:val="00225A25"/>
    <w:rsid w:val="0022657A"/>
    <w:rsid w:val="00226FD1"/>
    <w:rsid w:val="002341DB"/>
    <w:rsid w:val="00234C3C"/>
    <w:rsid w:val="002373E5"/>
    <w:rsid w:val="00241FA7"/>
    <w:rsid w:val="002507DD"/>
    <w:rsid w:val="00250F51"/>
    <w:rsid w:val="00263DAA"/>
    <w:rsid w:val="00266F39"/>
    <w:rsid w:val="00270961"/>
    <w:rsid w:val="00270E1E"/>
    <w:rsid w:val="00273195"/>
    <w:rsid w:val="00273E23"/>
    <w:rsid w:val="00274B5A"/>
    <w:rsid w:val="0027552F"/>
    <w:rsid w:val="00277BD5"/>
    <w:rsid w:val="00280B0A"/>
    <w:rsid w:val="0028540E"/>
    <w:rsid w:val="00287C91"/>
    <w:rsid w:val="002A1F2F"/>
    <w:rsid w:val="002A335E"/>
    <w:rsid w:val="002A7FCA"/>
    <w:rsid w:val="002B100F"/>
    <w:rsid w:val="002B1613"/>
    <w:rsid w:val="002B2F42"/>
    <w:rsid w:val="002B3C5A"/>
    <w:rsid w:val="002B4462"/>
    <w:rsid w:val="002B6BAD"/>
    <w:rsid w:val="002C0A6F"/>
    <w:rsid w:val="002C69EC"/>
    <w:rsid w:val="002C78D7"/>
    <w:rsid w:val="002D01C3"/>
    <w:rsid w:val="002D0C37"/>
    <w:rsid w:val="002D7F4F"/>
    <w:rsid w:val="002E0F6E"/>
    <w:rsid w:val="002F2A73"/>
    <w:rsid w:val="002F3FBC"/>
    <w:rsid w:val="002F5985"/>
    <w:rsid w:val="002F73B6"/>
    <w:rsid w:val="002F7E2C"/>
    <w:rsid w:val="003044D6"/>
    <w:rsid w:val="00314112"/>
    <w:rsid w:val="0032644C"/>
    <w:rsid w:val="00326623"/>
    <w:rsid w:val="00331F7B"/>
    <w:rsid w:val="00334461"/>
    <w:rsid w:val="0033555A"/>
    <w:rsid w:val="003360DE"/>
    <w:rsid w:val="00340FB2"/>
    <w:rsid w:val="00343A12"/>
    <w:rsid w:val="00352F09"/>
    <w:rsid w:val="003534C6"/>
    <w:rsid w:val="00357935"/>
    <w:rsid w:val="00360093"/>
    <w:rsid w:val="00365FC1"/>
    <w:rsid w:val="003702C5"/>
    <w:rsid w:val="0037374E"/>
    <w:rsid w:val="003742BE"/>
    <w:rsid w:val="00383FE4"/>
    <w:rsid w:val="003876A7"/>
    <w:rsid w:val="0039716B"/>
    <w:rsid w:val="003A27C9"/>
    <w:rsid w:val="003A5030"/>
    <w:rsid w:val="003A5BB4"/>
    <w:rsid w:val="003A5D8E"/>
    <w:rsid w:val="003B2684"/>
    <w:rsid w:val="003B36BC"/>
    <w:rsid w:val="003B435F"/>
    <w:rsid w:val="003B78B3"/>
    <w:rsid w:val="003D7317"/>
    <w:rsid w:val="003E05B3"/>
    <w:rsid w:val="003E6E7A"/>
    <w:rsid w:val="003F17FC"/>
    <w:rsid w:val="003F4B8C"/>
    <w:rsid w:val="003F6374"/>
    <w:rsid w:val="00401471"/>
    <w:rsid w:val="004043A3"/>
    <w:rsid w:val="00405379"/>
    <w:rsid w:val="0041162D"/>
    <w:rsid w:val="004146EA"/>
    <w:rsid w:val="0042141F"/>
    <w:rsid w:val="00435549"/>
    <w:rsid w:val="004372E7"/>
    <w:rsid w:val="004374D5"/>
    <w:rsid w:val="00440154"/>
    <w:rsid w:val="00446020"/>
    <w:rsid w:val="004510DB"/>
    <w:rsid w:val="00457819"/>
    <w:rsid w:val="00460D48"/>
    <w:rsid w:val="00461B9D"/>
    <w:rsid w:val="00465598"/>
    <w:rsid w:val="00465869"/>
    <w:rsid w:val="00466387"/>
    <w:rsid w:val="00475ACB"/>
    <w:rsid w:val="00481CD4"/>
    <w:rsid w:val="00485DFE"/>
    <w:rsid w:val="004918C7"/>
    <w:rsid w:val="00492011"/>
    <w:rsid w:val="00492F1D"/>
    <w:rsid w:val="00494D34"/>
    <w:rsid w:val="0049655E"/>
    <w:rsid w:val="00497C20"/>
    <w:rsid w:val="004A0D58"/>
    <w:rsid w:val="004B2E77"/>
    <w:rsid w:val="004C0D29"/>
    <w:rsid w:val="004C17DE"/>
    <w:rsid w:val="004C40C2"/>
    <w:rsid w:val="004C5926"/>
    <w:rsid w:val="004D1BC0"/>
    <w:rsid w:val="004D23DB"/>
    <w:rsid w:val="004D2646"/>
    <w:rsid w:val="004D6C93"/>
    <w:rsid w:val="004E5277"/>
    <w:rsid w:val="004E54B4"/>
    <w:rsid w:val="004E5CE3"/>
    <w:rsid w:val="004E7156"/>
    <w:rsid w:val="004F230E"/>
    <w:rsid w:val="004F6EE5"/>
    <w:rsid w:val="00500ECD"/>
    <w:rsid w:val="0050483B"/>
    <w:rsid w:val="00504D9B"/>
    <w:rsid w:val="00505044"/>
    <w:rsid w:val="00506557"/>
    <w:rsid w:val="005127CE"/>
    <w:rsid w:val="005132E7"/>
    <w:rsid w:val="0051412F"/>
    <w:rsid w:val="00523228"/>
    <w:rsid w:val="0053004B"/>
    <w:rsid w:val="00536A64"/>
    <w:rsid w:val="0054136F"/>
    <w:rsid w:val="00543795"/>
    <w:rsid w:val="00543CF5"/>
    <w:rsid w:val="00545E13"/>
    <w:rsid w:val="005461C5"/>
    <w:rsid w:val="00547643"/>
    <w:rsid w:val="00552845"/>
    <w:rsid w:val="00552CCE"/>
    <w:rsid w:val="00560952"/>
    <w:rsid w:val="005705EF"/>
    <w:rsid w:val="00575285"/>
    <w:rsid w:val="00576297"/>
    <w:rsid w:val="00576E53"/>
    <w:rsid w:val="00587993"/>
    <w:rsid w:val="00595B8C"/>
    <w:rsid w:val="0059738C"/>
    <w:rsid w:val="005A1243"/>
    <w:rsid w:val="005A4880"/>
    <w:rsid w:val="005A5662"/>
    <w:rsid w:val="005B1C13"/>
    <w:rsid w:val="005B65BE"/>
    <w:rsid w:val="005C06CF"/>
    <w:rsid w:val="005C5A39"/>
    <w:rsid w:val="005C6EA5"/>
    <w:rsid w:val="005C6FCA"/>
    <w:rsid w:val="005D26A2"/>
    <w:rsid w:val="005D3BD1"/>
    <w:rsid w:val="005D61DD"/>
    <w:rsid w:val="005D63D4"/>
    <w:rsid w:val="005D7566"/>
    <w:rsid w:val="005E33A5"/>
    <w:rsid w:val="005E4320"/>
    <w:rsid w:val="005E6EAA"/>
    <w:rsid w:val="005F1420"/>
    <w:rsid w:val="005F1DF5"/>
    <w:rsid w:val="005F3728"/>
    <w:rsid w:val="00605BCB"/>
    <w:rsid w:val="0061186E"/>
    <w:rsid w:val="00622153"/>
    <w:rsid w:val="00622859"/>
    <w:rsid w:val="00624232"/>
    <w:rsid w:val="00635AD4"/>
    <w:rsid w:val="00635B92"/>
    <w:rsid w:val="00645F7D"/>
    <w:rsid w:val="0065053C"/>
    <w:rsid w:val="0065575B"/>
    <w:rsid w:val="0066024B"/>
    <w:rsid w:val="006636E8"/>
    <w:rsid w:val="0066667D"/>
    <w:rsid w:val="00676A19"/>
    <w:rsid w:val="00682FB8"/>
    <w:rsid w:val="006858F5"/>
    <w:rsid w:val="00692A24"/>
    <w:rsid w:val="00693C93"/>
    <w:rsid w:val="006940D2"/>
    <w:rsid w:val="00694703"/>
    <w:rsid w:val="006A07EB"/>
    <w:rsid w:val="006A7DFF"/>
    <w:rsid w:val="006B2AC8"/>
    <w:rsid w:val="006D38BD"/>
    <w:rsid w:val="006D58CB"/>
    <w:rsid w:val="006E336C"/>
    <w:rsid w:val="006E4489"/>
    <w:rsid w:val="006E5491"/>
    <w:rsid w:val="006E5525"/>
    <w:rsid w:val="006E7821"/>
    <w:rsid w:val="006F1381"/>
    <w:rsid w:val="006F4D42"/>
    <w:rsid w:val="006F638C"/>
    <w:rsid w:val="00713038"/>
    <w:rsid w:val="00714158"/>
    <w:rsid w:val="0071486A"/>
    <w:rsid w:val="007172F5"/>
    <w:rsid w:val="00720270"/>
    <w:rsid w:val="00725329"/>
    <w:rsid w:val="007314B7"/>
    <w:rsid w:val="00731785"/>
    <w:rsid w:val="007337BB"/>
    <w:rsid w:val="00734B41"/>
    <w:rsid w:val="00734C63"/>
    <w:rsid w:val="007364DE"/>
    <w:rsid w:val="007401FE"/>
    <w:rsid w:val="007444BD"/>
    <w:rsid w:val="0075093C"/>
    <w:rsid w:val="00753E31"/>
    <w:rsid w:val="007543E6"/>
    <w:rsid w:val="00760116"/>
    <w:rsid w:val="00760216"/>
    <w:rsid w:val="00761950"/>
    <w:rsid w:val="00763D8B"/>
    <w:rsid w:val="00766C69"/>
    <w:rsid w:val="00770ED5"/>
    <w:rsid w:val="00773AA9"/>
    <w:rsid w:val="00775BC1"/>
    <w:rsid w:val="0077648C"/>
    <w:rsid w:val="00781163"/>
    <w:rsid w:val="00787299"/>
    <w:rsid w:val="0079367F"/>
    <w:rsid w:val="007958E7"/>
    <w:rsid w:val="00796227"/>
    <w:rsid w:val="007964BC"/>
    <w:rsid w:val="007A2ABB"/>
    <w:rsid w:val="007A4C41"/>
    <w:rsid w:val="007B21FE"/>
    <w:rsid w:val="007B3589"/>
    <w:rsid w:val="007B4066"/>
    <w:rsid w:val="007B5328"/>
    <w:rsid w:val="007B5B4E"/>
    <w:rsid w:val="007B6ED6"/>
    <w:rsid w:val="007B7088"/>
    <w:rsid w:val="007C266A"/>
    <w:rsid w:val="007D0E49"/>
    <w:rsid w:val="007D512F"/>
    <w:rsid w:val="007D57E1"/>
    <w:rsid w:val="007D5C76"/>
    <w:rsid w:val="007E1E8F"/>
    <w:rsid w:val="007E2C82"/>
    <w:rsid w:val="007E34D7"/>
    <w:rsid w:val="007E41AD"/>
    <w:rsid w:val="007E63E8"/>
    <w:rsid w:val="007F2A2C"/>
    <w:rsid w:val="00806441"/>
    <w:rsid w:val="00807212"/>
    <w:rsid w:val="008158B5"/>
    <w:rsid w:val="008220E1"/>
    <w:rsid w:val="0083097D"/>
    <w:rsid w:val="0083145B"/>
    <w:rsid w:val="00833178"/>
    <w:rsid w:val="00833323"/>
    <w:rsid w:val="00836EED"/>
    <w:rsid w:val="00837F49"/>
    <w:rsid w:val="00844CC0"/>
    <w:rsid w:val="00846F13"/>
    <w:rsid w:val="008543DA"/>
    <w:rsid w:val="00856201"/>
    <w:rsid w:val="00863D67"/>
    <w:rsid w:val="0086405A"/>
    <w:rsid w:val="008650CA"/>
    <w:rsid w:val="00867627"/>
    <w:rsid w:val="0087194A"/>
    <w:rsid w:val="00876BC7"/>
    <w:rsid w:val="008832AE"/>
    <w:rsid w:val="00886F69"/>
    <w:rsid w:val="008929CB"/>
    <w:rsid w:val="00897D10"/>
    <w:rsid w:val="008A224C"/>
    <w:rsid w:val="008A26A2"/>
    <w:rsid w:val="008B2BAB"/>
    <w:rsid w:val="008B3235"/>
    <w:rsid w:val="008B633A"/>
    <w:rsid w:val="008C14FF"/>
    <w:rsid w:val="008C5C7E"/>
    <w:rsid w:val="008C7B2B"/>
    <w:rsid w:val="008D050E"/>
    <w:rsid w:val="008D4FC2"/>
    <w:rsid w:val="008E11BF"/>
    <w:rsid w:val="008E346D"/>
    <w:rsid w:val="008E4DF9"/>
    <w:rsid w:val="008F004A"/>
    <w:rsid w:val="008F056E"/>
    <w:rsid w:val="008F153F"/>
    <w:rsid w:val="008F4EF5"/>
    <w:rsid w:val="008F554D"/>
    <w:rsid w:val="00905465"/>
    <w:rsid w:val="009055E9"/>
    <w:rsid w:val="009069C5"/>
    <w:rsid w:val="00912CE8"/>
    <w:rsid w:val="00915E09"/>
    <w:rsid w:val="0092046C"/>
    <w:rsid w:val="00920EE9"/>
    <w:rsid w:val="00922A28"/>
    <w:rsid w:val="00922EDD"/>
    <w:rsid w:val="009236C1"/>
    <w:rsid w:val="00925AA8"/>
    <w:rsid w:val="009334A2"/>
    <w:rsid w:val="009348FE"/>
    <w:rsid w:val="0093507C"/>
    <w:rsid w:val="00935515"/>
    <w:rsid w:val="00936117"/>
    <w:rsid w:val="0094179D"/>
    <w:rsid w:val="00944196"/>
    <w:rsid w:val="0094524B"/>
    <w:rsid w:val="00946BCB"/>
    <w:rsid w:val="009477C2"/>
    <w:rsid w:val="00953AF1"/>
    <w:rsid w:val="009614D6"/>
    <w:rsid w:val="00961D5B"/>
    <w:rsid w:val="00961F71"/>
    <w:rsid w:val="00971007"/>
    <w:rsid w:val="0097314C"/>
    <w:rsid w:val="00973336"/>
    <w:rsid w:val="00975EFD"/>
    <w:rsid w:val="00976257"/>
    <w:rsid w:val="00982C10"/>
    <w:rsid w:val="009864B3"/>
    <w:rsid w:val="00987023"/>
    <w:rsid w:val="00987612"/>
    <w:rsid w:val="00996339"/>
    <w:rsid w:val="009A1B50"/>
    <w:rsid w:val="009A5DC6"/>
    <w:rsid w:val="009B12FA"/>
    <w:rsid w:val="009B259A"/>
    <w:rsid w:val="009B5806"/>
    <w:rsid w:val="009C370C"/>
    <w:rsid w:val="009C3CD3"/>
    <w:rsid w:val="009C662C"/>
    <w:rsid w:val="009C7BC6"/>
    <w:rsid w:val="009D199D"/>
    <w:rsid w:val="009D3220"/>
    <w:rsid w:val="009D77BA"/>
    <w:rsid w:val="009E3593"/>
    <w:rsid w:val="009E42E7"/>
    <w:rsid w:val="009E4FBD"/>
    <w:rsid w:val="009E5490"/>
    <w:rsid w:val="009E72E0"/>
    <w:rsid w:val="009F2AA1"/>
    <w:rsid w:val="00A0250D"/>
    <w:rsid w:val="00A07060"/>
    <w:rsid w:val="00A20208"/>
    <w:rsid w:val="00A33587"/>
    <w:rsid w:val="00A348ED"/>
    <w:rsid w:val="00A43362"/>
    <w:rsid w:val="00A463BE"/>
    <w:rsid w:val="00A50960"/>
    <w:rsid w:val="00A53457"/>
    <w:rsid w:val="00A5606F"/>
    <w:rsid w:val="00A62C16"/>
    <w:rsid w:val="00A642AE"/>
    <w:rsid w:val="00A64682"/>
    <w:rsid w:val="00A66718"/>
    <w:rsid w:val="00A7145F"/>
    <w:rsid w:val="00A75DD1"/>
    <w:rsid w:val="00A85714"/>
    <w:rsid w:val="00A87312"/>
    <w:rsid w:val="00A913F7"/>
    <w:rsid w:val="00A9231C"/>
    <w:rsid w:val="00A92E36"/>
    <w:rsid w:val="00A937F8"/>
    <w:rsid w:val="00A95767"/>
    <w:rsid w:val="00AA26EF"/>
    <w:rsid w:val="00AA2C7C"/>
    <w:rsid w:val="00AA405F"/>
    <w:rsid w:val="00AA4ABE"/>
    <w:rsid w:val="00AB4788"/>
    <w:rsid w:val="00AB5E7D"/>
    <w:rsid w:val="00AB5ED4"/>
    <w:rsid w:val="00AC3BA1"/>
    <w:rsid w:val="00AC4BA8"/>
    <w:rsid w:val="00AD0239"/>
    <w:rsid w:val="00AD2FC2"/>
    <w:rsid w:val="00AD5175"/>
    <w:rsid w:val="00AE4F49"/>
    <w:rsid w:val="00AE687E"/>
    <w:rsid w:val="00AE6D3E"/>
    <w:rsid w:val="00AF4C87"/>
    <w:rsid w:val="00AF6AA6"/>
    <w:rsid w:val="00B000EB"/>
    <w:rsid w:val="00B002F7"/>
    <w:rsid w:val="00B024CE"/>
    <w:rsid w:val="00B02F2C"/>
    <w:rsid w:val="00B04CC1"/>
    <w:rsid w:val="00B04FDE"/>
    <w:rsid w:val="00B0774E"/>
    <w:rsid w:val="00B11CE6"/>
    <w:rsid w:val="00B12A16"/>
    <w:rsid w:val="00B14031"/>
    <w:rsid w:val="00B14ED1"/>
    <w:rsid w:val="00B177D5"/>
    <w:rsid w:val="00B21950"/>
    <w:rsid w:val="00B274BE"/>
    <w:rsid w:val="00B309BD"/>
    <w:rsid w:val="00B311F7"/>
    <w:rsid w:val="00B32124"/>
    <w:rsid w:val="00B36982"/>
    <w:rsid w:val="00B417BB"/>
    <w:rsid w:val="00B46852"/>
    <w:rsid w:val="00B52A80"/>
    <w:rsid w:val="00B54E99"/>
    <w:rsid w:val="00B551DC"/>
    <w:rsid w:val="00B56442"/>
    <w:rsid w:val="00B57E23"/>
    <w:rsid w:val="00B60266"/>
    <w:rsid w:val="00B61B9B"/>
    <w:rsid w:val="00B63B10"/>
    <w:rsid w:val="00B65614"/>
    <w:rsid w:val="00B65AB2"/>
    <w:rsid w:val="00B71C0E"/>
    <w:rsid w:val="00B71D03"/>
    <w:rsid w:val="00B73E64"/>
    <w:rsid w:val="00B86B3A"/>
    <w:rsid w:val="00B95899"/>
    <w:rsid w:val="00B9674D"/>
    <w:rsid w:val="00B9795A"/>
    <w:rsid w:val="00BA2A2E"/>
    <w:rsid w:val="00BA3DF6"/>
    <w:rsid w:val="00BA4484"/>
    <w:rsid w:val="00BA6C18"/>
    <w:rsid w:val="00BB213F"/>
    <w:rsid w:val="00BB3606"/>
    <w:rsid w:val="00BB684D"/>
    <w:rsid w:val="00BC4CED"/>
    <w:rsid w:val="00BD0316"/>
    <w:rsid w:val="00BD1C0C"/>
    <w:rsid w:val="00BD202F"/>
    <w:rsid w:val="00BD5669"/>
    <w:rsid w:val="00BD5ABF"/>
    <w:rsid w:val="00BD700E"/>
    <w:rsid w:val="00BD7CF8"/>
    <w:rsid w:val="00BE071F"/>
    <w:rsid w:val="00BE586C"/>
    <w:rsid w:val="00BE5CBA"/>
    <w:rsid w:val="00BF0A4B"/>
    <w:rsid w:val="00BF2C6B"/>
    <w:rsid w:val="00C060EA"/>
    <w:rsid w:val="00C14AE3"/>
    <w:rsid w:val="00C15A01"/>
    <w:rsid w:val="00C15B78"/>
    <w:rsid w:val="00C16D67"/>
    <w:rsid w:val="00C22D6A"/>
    <w:rsid w:val="00C272B0"/>
    <w:rsid w:val="00C322A4"/>
    <w:rsid w:val="00C349E9"/>
    <w:rsid w:val="00C44C84"/>
    <w:rsid w:val="00C52D54"/>
    <w:rsid w:val="00C54097"/>
    <w:rsid w:val="00C57514"/>
    <w:rsid w:val="00C577C2"/>
    <w:rsid w:val="00C57E8B"/>
    <w:rsid w:val="00C642BC"/>
    <w:rsid w:val="00C652C6"/>
    <w:rsid w:val="00C711C1"/>
    <w:rsid w:val="00C71F2F"/>
    <w:rsid w:val="00C722DF"/>
    <w:rsid w:val="00C82805"/>
    <w:rsid w:val="00C874C3"/>
    <w:rsid w:val="00C87B99"/>
    <w:rsid w:val="00C94E67"/>
    <w:rsid w:val="00CA0043"/>
    <w:rsid w:val="00CA28C4"/>
    <w:rsid w:val="00CB0A2C"/>
    <w:rsid w:val="00CB2AB8"/>
    <w:rsid w:val="00CB7978"/>
    <w:rsid w:val="00CB7B11"/>
    <w:rsid w:val="00CC187C"/>
    <w:rsid w:val="00CC33A4"/>
    <w:rsid w:val="00CC6510"/>
    <w:rsid w:val="00CC7F8A"/>
    <w:rsid w:val="00CD3E7E"/>
    <w:rsid w:val="00CE4000"/>
    <w:rsid w:val="00CE574F"/>
    <w:rsid w:val="00CE7740"/>
    <w:rsid w:val="00CF7C39"/>
    <w:rsid w:val="00D00156"/>
    <w:rsid w:val="00D07463"/>
    <w:rsid w:val="00D10CE5"/>
    <w:rsid w:val="00D35EF8"/>
    <w:rsid w:val="00D361FA"/>
    <w:rsid w:val="00D36278"/>
    <w:rsid w:val="00D37682"/>
    <w:rsid w:val="00D4476E"/>
    <w:rsid w:val="00D47B38"/>
    <w:rsid w:val="00D51594"/>
    <w:rsid w:val="00D536E6"/>
    <w:rsid w:val="00D602F8"/>
    <w:rsid w:val="00D74DD1"/>
    <w:rsid w:val="00D75924"/>
    <w:rsid w:val="00D86000"/>
    <w:rsid w:val="00D86DA7"/>
    <w:rsid w:val="00D91375"/>
    <w:rsid w:val="00D91AB4"/>
    <w:rsid w:val="00D968D4"/>
    <w:rsid w:val="00DA0F48"/>
    <w:rsid w:val="00DA12D3"/>
    <w:rsid w:val="00DA6F2E"/>
    <w:rsid w:val="00DA73FC"/>
    <w:rsid w:val="00DB5EAE"/>
    <w:rsid w:val="00DC3238"/>
    <w:rsid w:val="00DC355D"/>
    <w:rsid w:val="00DC447C"/>
    <w:rsid w:val="00DC448B"/>
    <w:rsid w:val="00DC7A5D"/>
    <w:rsid w:val="00DC7C49"/>
    <w:rsid w:val="00DD08EF"/>
    <w:rsid w:val="00DD1539"/>
    <w:rsid w:val="00DE2CC5"/>
    <w:rsid w:val="00DF0533"/>
    <w:rsid w:val="00DF18F1"/>
    <w:rsid w:val="00DF39B6"/>
    <w:rsid w:val="00DF4AB1"/>
    <w:rsid w:val="00DF7CD8"/>
    <w:rsid w:val="00E004D5"/>
    <w:rsid w:val="00E12B69"/>
    <w:rsid w:val="00E1361D"/>
    <w:rsid w:val="00E150CE"/>
    <w:rsid w:val="00E30DEA"/>
    <w:rsid w:val="00E31F13"/>
    <w:rsid w:val="00E3607C"/>
    <w:rsid w:val="00E50E84"/>
    <w:rsid w:val="00E529E4"/>
    <w:rsid w:val="00E5472A"/>
    <w:rsid w:val="00E54C22"/>
    <w:rsid w:val="00E56C15"/>
    <w:rsid w:val="00E64F66"/>
    <w:rsid w:val="00E67AE0"/>
    <w:rsid w:val="00E744D6"/>
    <w:rsid w:val="00E769BE"/>
    <w:rsid w:val="00E77299"/>
    <w:rsid w:val="00E776D5"/>
    <w:rsid w:val="00E83177"/>
    <w:rsid w:val="00E84186"/>
    <w:rsid w:val="00E8438B"/>
    <w:rsid w:val="00E87A3C"/>
    <w:rsid w:val="00E90BDB"/>
    <w:rsid w:val="00E921D7"/>
    <w:rsid w:val="00E92AFB"/>
    <w:rsid w:val="00E955CF"/>
    <w:rsid w:val="00E96850"/>
    <w:rsid w:val="00E9706A"/>
    <w:rsid w:val="00EA477D"/>
    <w:rsid w:val="00EA550D"/>
    <w:rsid w:val="00EA55F8"/>
    <w:rsid w:val="00EA7470"/>
    <w:rsid w:val="00EB051F"/>
    <w:rsid w:val="00EB0BD7"/>
    <w:rsid w:val="00EB3F93"/>
    <w:rsid w:val="00EB44D8"/>
    <w:rsid w:val="00EB572A"/>
    <w:rsid w:val="00EB5907"/>
    <w:rsid w:val="00EC637E"/>
    <w:rsid w:val="00EC7401"/>
    <w:rsid w:val="00ED3B5C"/>
    <w:rsid w:val="00ED7DEE"/>
    <w:rsid w:val="00EE6195"/>
    <w:rsid w:val="00EE775F"/>
    <w:rsid w:val="00EF1DBB"/>
    <w:rsid w:val="00F07607"/>
    <w:rsid w:val="00F13053"/>
    <w:rsid w:val="00F17144"/>
    <w:rsid w:val="00F31A86"/>
    <w:rsid w:val="00F34317"/>
    <w:rsid w:val="00F36420"/>
    <w:rsid w:val="00F37929"/>
    <w:rsid w:val="00F44636"/>
    <w:rsid w:val="00F44A70"/>
    <w:rsid w:val="00F530AB"/>
    <w:rsid w:val="00F535C2"/>
    <w:rsid w:val="00F56D2C"/>
    <w:rsid w:val="00F6052C"/>
    <w:rsid w:val="00F607E9"/>
    <w:rsid w:val="00F60FD9"/>
    <w:rsid w:val="00F67020"/>
    <w:rsid w:val="00F67526"/>
    <w:rsid w:val="00F72114"/>
    <w:rsid w:val="00F86F51"/>
    <w:rsid w:val="00F91317"/>
    <w:rsid w:val="00F95137"/>
    <w:rsid w:val="00FA696F"/>
    <w:rsid w:val="00FB27B0"/>
    <w:rsid w:val="00FB2E29"/>
    <w:rsid w:val="00FB4D68"/>
    <w:rsid w:val="00FB5E6A"/>
    <w:rsid w:val="00FC0A92"/>
    <w:rsid w:val="00FC45A1"/>
    <w:rsid w:val="00FC7F83"/>
    <w:rsid w:val="00FD4488"/>
    <w:rsid w:val="00FD59FA"/>
    <w:rsid w:val="00FE3BC0"/>
    <w:rsid w:val="00FE5791"/>
    <w:rsid w:val="00FF4D39"/>
    <w:rsid w:val="00FF5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chart" Target="charts/chart13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5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80;&#1102;&#1083;&#1103;%202015\&#1040;&#1085;&#1072;&#1083;&#1080;&#1079;%20&#1080;&#1089;&#1087;&#1086;&#1083;&#1085;&#1077;&#1085;&#1080;&#1103;%20&#1073;&#1102;&#1076;&#1078;&#1077;&#1090;&#1072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80;&#1102;&#1083;&#1103;%202015\&#1040;&#1085;&#1072;&#1083;&#1080;&#1079;%20&#1080;&#1089;&#1087;&#1086;&#1083;&#1085;&#1077;&#1085;&#1080;&#1103;%20&#1073;&#1102;&#1076;&#1078;&#1077;&#1090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80;&#1102;&#1083;&#1103;%202015\&#1040;&#1085;&#1072;&#1083;&#1080;&#1079;%20&#1080;&#1089;&#1087;&#1086;&#1083;&#1085;&#1077;&#1085;&#1080;&#1103;%20&#1073;&#1102;&#1076;&#1078;&#1077;&#1090;&#1072;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80;&#1102;&#1083;&#1103;%202015\&#1040;&#1085;&#1072;&#1083;&#1080;&#1079;%20&#1080;&#1089;&#1087;&#1086;&#1083;&#1085;&#1077;&#1085;&#1080;&#1103;%20&#1073;&#1102;&#1076;&#1078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5\1%20&#1080;&#1102;&#1083;&#1103;%202015\&#1040;&#1085;&#1072;&#1083;&#1080;&#1079;%20&#1080;&#1089;&#1087;&#1086;&#1083;&#1085;&#1077;&#1085;&#1080;&#1103;%20&#1073;&#1102;&#1076;&#1078;&#1077;&#1090;&#1072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4;&#1073;&#1097;&#1072;&#1103;%20&#1087;&#1072;&#1087;&#1082;&#1072;\&#1050;&#1074;&#1072;&#1088;&#1090;&#1072;&#1083;&#1100;&#1085;&#1099;&#1081;%20&#1072;&#1085;&#1072;&#1083;&#1080;&#1079;\2013\1%20&#1086;&#1082;&#1090;&#1103;&#1073;&#1088;&#1103;%202013\&#1076;&#1080;&#1072;&#1075;&#1088;&#1072;&#1084;&#1084;&#1072;%20&#1087;&#1088;&#1086;&#1089;&#1088;&#1086;&#1095;&#1077;&#1085;&#1085;&#1086;&#1081;%20&#1082;&#1088;&#1077;&#1076;&#1080;&#1090;&#1086;&#1088;&#1089;&#1082;&#1086;&#1081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628903944990639"/>
          <c:y val="7.6756186933124609E-2"/>
          <c:w val="0.86260254909615652"/>
          <c:h val="0.86739198070215118"/>
        </c:manualLayout>
      </c:layout>
      <c:bar3DChart>
        <c:barDir val="col"/>
        <c:grouping val="clustered"/>
        <c:varyColors val="0"/>
        <c:ser>
          <c:idx val="0"/>
          <c:order val="0"/>
          <c:tx>
            <c:v>Исполнение на 01.07.2015</c:v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0449320794148387E-2"/>
                  <c:y val="-2.666666666666668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303</a:t>
                    </a:r>
                    <a:r>
                      <a:rPr lang="ru-RU"/>
                      <a:t> </a:t>
                    </a:r>
                    <a:r>
                      <a:rPr lang="en-US"/>
                      <a:t>401,3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797283176593578E-3"/>
                  <c:y val="-2.73348519362186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254</a:t>
                    </a:r>
                    <a:r>
                      <a:rPr lang="ru-RU"/>
                      <a:t> </a:t>
                    </a:r>
                    <a:r>
                      <a:rPr lang="en-US"/>
                      <a:t>956,5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3.829416884247174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</a:t>
                    </a:r>
                    <a:r>
                      <a:rPr lang="ru-RU"/>
                      <a:t> </a:t>
                    </a:r>
                    <a:r>
                      <a:rPr lang="en-US"/>
                      <a:t>444,8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Динамика!$A$26:$C$26</c:f>
              <c:strCache>
                <c:ptCount val="3"/>
                <c:pt idx="0">
                  <c:v>Консолидированный бюджет</c:v>
                </c:pt>
                <c:pt idx="1">
                  <c:v>Районный бюджет</c:v>
                </c:pt>
                <c:pt idx="2">
                  <c:v>Бюджеты поселений</c:v>
                </c:pt>
              </c:strCache>
            </c:strRef>
          </c:cat>
          <c:val>
            <c:numRef>
              <c:f>Динамика!$A$4:$A$6</c:f>
              <c:numCache>
                <c:formatCode>0.0</c:formatCode>
                <c:ptCount val="3"/>
                <c:pt idx="0" formatCode="General">
                  <c:v>303401.3</c:v>
                </c:pt>
                <c:pt idx="1">
                  <c:v>254956.5</c:v>
                </c:pt>
                <c:pt idx="2">
                  <c:v>48444.800000000003</c:v>
                </c:pt>
              </c:numCache>
            </c:numRef>
          </c:val>
        </c:ser>
        <c:ser>
          <c:idx val="1"/>
          <c:order val="1"/>
          <c:tx>
            <c:v>Исполнение на 01.07.2014</c:v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179728317659355E-2"/>
                  <c:y val="-2.96296296296297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273</a:t>
                    </a:r>
                    <a:r>
                      <a:rPr lang="ru-RU"/>
                      <a:t> </a:t>
                    </a:r>
                    <a:r>
                      <a:rPr lang="en-US"/>
                      <a:t>248,2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168234064785787E-2"/>
                  <c:y val="-3.037205770690971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215</a:t>
                    </a:r>
                    <a:r>
                      <a:rPr lang="ru-RU"/>
                      <a:t> </a:t>
                    </a:r>
                    <a:r>
                      <a:rPr lang="en-US"/>
                      <a:t>326,1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3389667754945342E-2"/>
                  <c:y val="-2.0887851981465297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57</a:t>
                    </a:r>
                    <a:r>
                      <a:rPr lang="ru-RU"/>
                      <a:t> </a:t>
                    </a:r>
                    <a:r>
                      <a:rPr lang="en-US"/>
                      <a:t>922,1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Динамика!$A$26:$C$26</c:f>
              <c:strCache>
                <c:ptCount val="3"/>
                <c:pt idx="0">
                  <c:v>Консолидированный бюджет</c:v>
                </c:pt>
                <c:pt idx="1">
                  <c:v>Районный бюджет</c:v>
                </c:pt>
                <c:pt idx="2">
                  <c:v>Бюджеты поселений</c:v>
                </c:pt>
              </c:strCache>
            </c:strRef>
          </c:cat>
          <c:val>
            <c:numRef>
              <c:f>Динамика!$B$4:$B$6</c:f>
              <c:numCache>
                <c:formatCode>General</c:formatCode>
                <c:ptCount val="3"/>
                <c:pt idx="0">
                  <c:v>273248.2</c:v>
                </c:pt>
                <c:pt idx="1">
                  <c:v>215326.1</c:v>
                </c:pt>
                <c:pt idx="2" formatCode="0.0">
                  <c:v>57922.1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422144"/>
        <c:axId val="92423680"/>
        <c:axId val="0"/>
      </c:bar3DChart>
      <c:catAx>
        <c:axId val="92422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423680"/>
        <c:crosses val="autoZero"/>
        <c:auto val="1"/>
        <c:lblAlgn val="ctr"/>
        <c:lblOffset val="100"/>
        <c:noMultiLvlLbl val="0"/>
      </c:catAx>
      <c:valAx>
        <c:axId val="9242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422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355379658055539"/>
          <c:y val="2.2398800040368535E-2"/>
          <c:w val="0.54840719387429349"/>
          <c:h val="9.473154170946032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3123145726923924"/>
          <c:y val="0.34907251264755507"/>
          <c:w val="0.57557613822429676"/>
          <c:h val="0.3844856661045537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4.5892866062860693E-2"/>
                  <c:y val="-0.20065793332253701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Налоговые доходы
20,0%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803412511666572E-2"/>
                  <c:y val="0.12399819672346404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Неналоговые доходы
9,2%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769576590906216E-2"/>
                  <c:y val="1.1042530189562897E-2"/>
                </c:manualLayout>
              </c:layout>
              <c:tx>
                <c:rich>
                  <a:bodyPr/>
                  <a:lstStyle/>
                  <a:p>
                    <a:r>
                      <a:rPr lang="ru-RU" sz="1400"/>
                      <a:t>Безвозмездные поступления
70,8%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0.2</c:v>
                </c:pt>
                <c:pt idx="1">
                  <c:v>9.2000000000000026E-2</c:v>
                </c:pt>
                <c:pt idx="2">
                  <c:v>0.70800000000000041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2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232678109950809"/>
          <c:y val="0.35118033369684837"/>
          <c:w val="0.43032376838133257"/>
          <c:h val="0.28977326322292146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8"/>
          <c:dPt>
            <c:idx val="1"/>
            <c:bubble3D val="0"/>
            <c:spPr>
              <a:solidFill>
                <a:schemeClr val="accent3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1169222778241658E-2"/>
                  <c:y val="-0.2562705342756351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Штрафы 
2,7%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85651365946863"/>
                  <c:y val="-0.26447007729891026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Налоги на совокупный доход
8,3%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347004927365262"/>
                  <c:y val="-0.13409746560988114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Доходы от использования имущества 27,5%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105616089307364E-2"/>
                  <c:y val="0.2234776715706811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Остальные налоги и сборы 7,0%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81E-2"/>
                </c:manualLayout>
              </c:layout>
              <c:tx>
                <c:rich>
                  <a:bodyPr/>
                  <a:lstStyle/>
                  <a:p>
                    <a:pPr>
                      <a:defRPr sz="1200" b="1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200"/>
                      <a:t>Налог на доходы физических лиц 
54,5%</a:t>
                    </a:r>
                    <a:endParaRPr lang="ru-RU"/>
                  </a:p>
                </c:rich>
              </c:tx>
              <c:spPr>
                <a:noFill/>
                <a:ln w="25400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2.7</c:v>
                </c:pt>
                <c:pt idx="1">
                  <c:v>8.3000000000000007</c:v>
                </c:pt>
                <c:pt idx="2">
                  <c:v>27.5</c:v>
                </c:pt>
                <c:pt idx="3">
                  <c:v>7</c:v>
                </c:pt>
                <c:pt idx="4">
                  <c:v>54.5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825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93711943725224E-2"/>
          <c:y val="1.7669392842760971E-2"/>
          <c:w val="0.85753543307086655"/>
          <c:h val="0.7833549416105253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'Ритмичность (2)'!$A$24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'Ритмичность (2)'!$A$23:$L$23</c:f>
              <c:strCache>
                <c:ptCount val="6"/>
                <c:pt idx="0">
                  <c:v>на 01.02.2015г.</c:v>
                </c:pt>
                <c:pt idx="1">
                  <c:v>на 01.03.2015г.</c:v>
                </c:pt>
                <c:pt idx="2">
                  <c:v>на 01.04.2015г.</c:v>
                </c:pt>
                <c:pt idx="3">
                  <c:v>на 01.05.2015г.</c:v>
                </c:pt>
                <c:pt idx="4">
                  <c:v>на 01.06.2015г.</c:v>
                </c:pt>
                <c:pt idx="5">
                  <c:v>на 01.07.2015г.</c:v>
                </c:pt>
              </c:strCache>
            </c:strRef>
          </c:cat>
          <c:val>
            <c:numRef>
              <c:f>'Ритмичность (2)'!$A$4:$A$15</c:f>
              <c:numCache>
                <c:formatCode>General</c:formatCode>
                <c:ptCount val="12"/>
                <c:pt idx="0">
                  <c:v>4813.3</c:v>
                </c:pt>
                <c:pt idx="1">
                  <c:v>1201.9000000000001</c:v>
                </c:pt>
                <c:pt idx="2">
                  <c:v>10984.7</c:v>
                </c:pt>
                <c:pt idx="3">
                  <c:v>2839.3</c:v>
                </c:pt>
                <c:pt idx="4">
                  <c:v>749</c:v>
                </c:pt>
                <c:pt idx="5">
                  <c:v>2783.3</c:v>
                </c:pt>
              </c:numCache>
            </c:numRef>
          </c:val>
        </c:ser>
        <c:ser>
          <c:idx val="1"/>
          <c:order val="1"/>
          <c:tx>
            <c:strRef>
              <c:f>'Ритмичность (2)'!$A$25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ru-RU" b="0"/>
                      <a:t>4378,4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'Ритмичность (2)'!$A$23:$L$23</c:f>
              <c:strCache>
                <c:ptCount val="6"/>
                <c:pt idx="0">
                  <c:v>на 01.02.2015г.</c:v>
                </c:pt>
                <c:pt idx="1">
                  <c:v>на 01.03.2015г.</c:v>
                </c:pt>
                <c:pt idx="2">
                  <c:v>на 01.04.2015г.</c:v>
                </c:pt>
                <c:pt idx="3">
                  <c:v>на 01.05.2015г.</c:v>
                </c:pt>
                <c:pt idx="4">
                  <c:v>на 01.06.2015г.</c:v>
                </c:pt>
                <c:pt idx="5">
                  <c:v>на 01.07.2015г.</c:v>
                </c:pt>
              </c:strCache>
            </c:strRef>
          </c:cat>
          <c:val>
            <c:numRef>
              <c:f>'Ритмичность (2)'!$B$4:$B$15</c:f>
              <c:numCache>
                <c:formatCode>General</c:formatCode>
                <c:ptCount val="12"/>
                <c:pt idx="0">
                  <c:v>8395.9</c:v>
                </c:pt>
                <c:pt idx="1">
                  <c:v>6964.7</c:v>
                </c:pt>
                <c:pt idx="2">
                  <c:v>9101.299999999992</c:v>
                </c:pt>
                <c:pt idx="3">
                  <c:v>9991.7000000000007</c:v>
                </c:pt>
                <c:pt idx="4">
                  <c:v>7386.7</c:v>
                </c:pt>
                <c:pt idx="5">
                  <c:v>9075.7000000000007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9879936"/>
        <c:axId val="99881728"/>
        <c:axId val="0"/>
      </c:bar3DChart>
      <c:catAx>
        <c:axId val="9987993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11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81728"/>
        <c:crosses val="autoZero"/>
        <c:auto val="1"/>
        <c:lblAlgn val="ctr"/>
        <c:lblOffset val="100"/>
        <c:noMultiLvlLbl val="0"/>
      </c:catAx>
      <c:valAx>
        <c:axId val="99881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9879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573951527335678"/>
          <c:y val="9.2673814709331545E-2"/>
          <c:w val="0.84685959858288906"/>
          <c:h val="0.81488139784596358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6.7962899907782121E-2"/>
                  <c:y val="0.1355488832378448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81,3 %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0767820689080554E-2"/>
                  <c:y val="1.0467689383654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оборона</a:t>
                    </a:r>
                    <a:r>
                      <a:rPr lang="ru-RU" baseline="0"/>
                      <a:t> 0,3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231457178963737E-2"/>
                  <c:y val="-9.12751607696400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</a:t>
                    </a:r>
                    <a:r>
                      <a:rPr lang="ru-RU" baseline="0"/>
                      <a:t> трансферты 3,4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434334597064252E-2"/>
                  <c:y val="-0.1308152092772019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 хозяйство 0,8 %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7166631948784192"/>
                  <c:y val="-6.575165173318853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14,2 %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01.07.2015    '!$I$201:$I$206</c:f>
              <c:numCache>
                <c:formatCode>General</c:formatCode>
                <c:ptCount val="6"/>
                <c:pt idx="0">
                  <c:v>81.3</c:v>
                </c:pt>
                <c:pt idx="1">
                  <c:v>0.30000000000000021</c:v>
                </c:pt>
                <c:pt idx="2">
                  <c:v>3.4</c:v>
                </c:pt>
                <c:pt idx="3">
                  <c:v>0.8</c:v>
                </c:pt>
                <c:pt idx="4">
                  <c:v>14.2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038805633166907E-2"/>
          <c:y val="0.13678522809592089"/>
          <c:w val="0.82143881053330792"/>
          <c:h val="0.7793663192631427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4.2596838856682466E-2"/>
                  <c:y val="-4.618392196996593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Расходы на социальную сферу 23,4 %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744531933508127E-3"/>
                  <c:y val="0.20747293544828641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Жилищно-коммунальное хозяйство 26,6 %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6483516483516494"/>
                  <c:y val="0.1271185001079109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Национальная</a:t>
                    </a:r>
                  </a:p>
                  <a:p>
                    <a:r>
                      <a:rPr lang="ru-RU" sz="1000"/>
                      <a:t>экономика 1 %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39278469223605161"/>
                  <c:y val="-3.0812345317946164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Национальная оборона 1,4 %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387096774193554E-2"/>
                  <c:y val="-0.371145175993190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47,6 %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01.07.2015    '!$I$247:$I$251</c:f>
              <c:numCache>
                <c:formatCode>General</c:formatCode>
                <c:ptCount val="5"/>
                <c:pt idx="0">
                  <c:v>23.4</c:v>
                </c:pt>
                <c:pt idx="1">
                  <c:v>26.6</c:v>
                </c:pt>
                <c:pt idx="2">
                  <c:v>1</c:v>
                </c:pt>
                <c:pt idx="3">
                  <c:v>1.4</c:v>
                </c:pt>
                <c:pt idx="4">
                  <c:v>47.6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414965986394599E-2"/>
          <c:y val="0"/>
          <c:w val="0.92517006802721058"/>
          <c:h val="0.95970403699537643"/>
        </c:manualLayout>
      </c:layout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2.7210884353741478E-2"/>
                  <c:y val="-3.41880341880341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266</a:t>
                    </a:r>
                    <a:r>
                      <a:rPr lang="ru-RU"/>
                      <a:t> </a:t>
                    </a:r>
                    <a:r>
                      <a:rPr lang="en-US"/>
                      <a:t>952,4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0816326530612533E-2"/>
                  <c:y val="-2.659069325735994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212</a:t>
                    </a:r>
                    <a:r>
                      <a:rPr lang="ru-RU"/>
                      <a:t> </a:t>
                    </a:r>
                    <a:r>
                      <a:rPr lang="en-US"/>
                      <a:t>180,6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01.07.2015    '!$K$33:$L$33</c:f>
              <c:numCache>
                <c:formatCode>General</c:formatCode>
                <c:ptCount val="2"/>
                <c:pt idx="0">
                  <c:v>266952.40000000002</c:v>
                </c:pt>
                <c:pt idx="1">
                  <c:v>212180.6</c:v>
                </c:pt>
              </c:numCache>
            </c:numRef>
          </c:val>
        </c:ser>
        <c:ser>
          <c:idx val="1"/>
          <c:order val="1"/>
          <c:tx>
            <c:v>ряд 2</c:v>
          </c:tx>
          <c:invertIfNegative val="0"/>
          <c:dLbls>
            <c:dLbl>
              <c:idx val="0"/>
              <c:layout>
                <c:manualLayout>
                  <c:x val="6.1224489795918373E-2"/>
                  <c:y val="-3.418803418803419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301</a:t>
                    </a:r>
                    <a:r>
                      <a:rPr lang="ru-RU"/>
                      <a:t> </a:t>
                    </a:r>
                    <a:r>
                      <a:rPr lang="en-US"/>
                      <a:t>695,8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1632653061224497E-2"/>
                  <c:y val="-3.7986704653371402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251</a:t>
                    </a:r>
                    <a:r>
                      <a:rPr lang="ru-RU"/>
                      <a:t> </a:t>
                    </a:r>
                    <a:r>
                      <a:rPr lang="en-US"/>
                      <a:t>154,8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01.07.2015    '!$K$34:$L$34</c:f>
              <c:numCache>
                <c:formatCode>General</c:formatCode>
                <c:ptCount val="2"/>
                <c:pt idx="0">
                  <c:v>301695.8</c:v>
                </c:pt>
                <c:pt idx="1">
                  <c:v>251154.8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2505600"/>
        <c:axId val="92507136"/>
        <c:axId val="0"/>
      </c:bar3DChart>
      <c:catAx>
        <c:axId val="92505600"/>
        <c:scaling>
          <c:orientation val="minMax"/>
        </c:scaling>
        <c:delete val="1"/>
        <c:axPos val="b"/>
        <c:majorTickMark val="out"/>
        <c:minorTickMark val="none"/>
        <c:tickLblPos val="none"/>
        <c:crossAx val="92507136"/>
        <c:crosses val="autoZero"/>
        <c:auto val="0"/>
        <c:lblAlgn val="ctr"/>
        <c:lblOffset val="100"/>
        <c:noMultiLvlLbl val="0"/>
      </c:catAx>
      <c:valAx>
        <c:axId val="92507136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92505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44329788492594E-2"/>
          <c:y val="0.30682680229173714"/>
          <c:w val="0.77190330340593893"/>
          <c:h val="0.5156696852582143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869754052028981"/>
                  <c:y val="-0.19396427586629514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Налоговые доходы
24,3%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4700374640148292"/>
                  <c:y val="8.1592660839574047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Неналоговые доходы
12,6%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378163080199307E-2"/>
                  <c:y val="-0.49600465959552631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63,1%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0.2430000000000001</c:v>
                </c:pt>
                <c:pt idx="1">
                  <c:v>0.126</c:v>
                </c:pt>
                <c:pt idx="2">
                  <c:v>0.63100000000000045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9607436689424"/>
          <c:y val="0.35606126461378546"/>
          <c:w val="0.43032376838133257"/>
          <c:h val="0.28977326322292146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9463228599522661"/>
                  <c:y val="-0.19100930565497495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 на имущество</a:t>
                    </a:r>
                  </a:p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7,0%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91885430258288"/>
                  <c:y val="-0.26447001758252631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Налоги на совокупный доход
5,6%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347004927365262"/>
                  <c:y val="-0.13409746560988114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Доходы от использования имущества 30,7%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105616089307364E-2"/>
                  <c:y val="0.2234776715706811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Остальные налоги и сборы 8,2%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81E-2"/>
                </c:manualLayout>
              </c:layout>
              <c:tx>
                <c:rich>
                  <a:bodyPr/>
                  <a:lstStyle/>
                  <a:p>
                    <a:r>
                      <a:rPr lang="ru-RU" sz="900" b="1">
                        <a:latin typeface="Times New Roman" pitchFamily="18" charset="0"/>
                        <a:cs typeface="Times New Roman" pitchFamily="18" charset="0"/>
                      </a:rPr>
                      <a:t>Налог на доходы физических лиц 
48,5%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7</c:v>
                </c:pt>
                <c:pt idx="1">
                  <c:v>5.6</c:v>
                </c:pt>
                <c:pt idx="2">
                  <c:v>30.7</c:v>
                </c:pt>
                <c:pt idx="3">
                  <c:v>8.2000000000000011</c:v>
                </c:pt>
                <c:pt idx="4">
                  <c:v>48.5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8693711943725224E-2"/>
          <c:y val="1.7669392842760971E-2"/>
          <c:w val="0.83587695816629881"/>
          <c:h val="0.7833549416105253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Ритмичность!$A$24</c:f>
              <c:strCache>
                <c:ptCount val="1"/>
                <c:pt idx="0">
                  <c:v>Неналоговые 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6"/>
                <c:pt idx="0">
                  <c:v>на 01.02.2015г.</c:v>
                </c:pt>
                <c:pt idx="1">
                  <c:v>на 01.03.2015г.</c:v>
                </c:pt>
                <c:pt idx="2">
                  <c:v>на 01.04.2015г.</c:v>
                </c:pt>
                <c:pt idx="3">
                  <c:v>на 01.05.2015г.</c:v>
                </c:pt>
                <c:pt idx="4">
                  <c:v>на 01.06.2015г.</c:v>
                </c:pt>
                <c:pt idx="5">
                  <c:v>на 01.07.2015г.</c:v>
                </c:pt>
              </c:strCache>
            </c:strRef>
          </c:cat>
          <c:val>
            <c:numRef>
              <c:f>Ритмичность!$A$4:$A$15</c:f>
              <c:numCache>
                <c:formatCode>General</c:formatCode>
                <c:ptCount val="12"/>
                <c:pt idx="0">
                  <c:v>4898.2</c:v>
                </c:pt>
                <c:pt idx="1">
                  <c:v>1894.5</c:v>
                </c:pt>
                <c:pt idx="2">
                  <c:v>21230.6</c:v>
                </c:pt>
                <c:pt idx="3">
                  <c:v>3683.9</c:v>
                </c:pt>
                <c:pt idx="4">
                  <c:v>1157</c:v>
                </c:pt>
                <c:pt idx="5">
                  <c:v>5291.9</c:v>
                </c:pt>
              </c:numCache>
            </c:numRef>
          </c:val>
        </c:ser>
        <c:ser>
          <c:idx val="1"/>
          <c:order val="1"/>
          <c:tx>
            <c:strRef>
              <c:f>Ритмичность!$A$25</c:f>
              <c:strCache>
                <c:ptCount val="1"/>
                <c:pt idx="0">
                  <c:v>Налоговые доходы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0"/>
                      <a:t>9282,1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Ритмичность!$A$23:$L$23</c:f>
              <c:strCache>
                <c:ptCount val="6"/>
                <c:pt idx="0">
                  <c:v>на 01.02.2015г.</c:v>
                </c:pt>
                <c:pt idx="1">
                  <c:v>на 01.03.2015г.</c:v>
                </c:pt>
                <c:pt idx="2">
                  <c:v>на 01.04.2015г.</c:v>
                </c:pt>
                <c:pt idx="3">
                  <c:v>на 01.05.2015г.</c:v>
                </c:pt>
                <c:pt idx="4">
                  <c:v>на 01.06.2015г.</c:v>
                </c:pt>
                <c:pt idx="5">
                  <c:v>на 01.07.2015г.</c:v>
                </c:pt>
              </c:strCache>
            </c:strRef>
          </c:cat>
          <c:val>
            <c:numRef>
              <c:f>Ритмичность!$B$4:$B$15</c:f>
              <c:numCache>
                <c:formatCode>General</c:formatCode>
                <c:ptCount val="12"/>
                <c:pt idx="0">
                  <c:v>11045.1</c:v>
                </c:pt>
                <c:pt idx="1">
                  <c:v>11108.9</c:v>
                </c:pt>
                <c:pt idx="2">
                  <c:v>13293.4</c:v>
                </c:pt>
                <c:pt idx="3">
                  <c:v>14479.2</c:v>
                </c:pt>
                <c:pt idx="4">
                  <c:v>10932.8</c:v>
                </c:pt>
                <c:pt idx="5">
                  <c:v>12901.8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7434240"/>
        <c:axId val="97448320"/>
        <c:axId val="0"/>
      </c:bar3DChart>
      <c:catAx>
        <c:axId val="97434240"/>
        <c:scaling>
          <c:orientation val="minMax"/>
        </c:scaling>
        <c:delete val="0"/>
        <c:axPos val="b"/>
        <c:majorGridlines/>
        <c:minorGridlines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114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448320"/>
        <c:crosses val="autoZero"/>
        <c:auto val="1"/>
        <c:lblAlgn val="ctr"/>
        <c:lblOffset val="100"/>
        <c:noMultiLvlLbl val="0"/>
      </c:catAx>
      <c:valAx>
        <c:axId val="97448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4342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39767135433781E-2"/>
          <c:y val="0.12310586176728039"/>
          <c:w val="0.81219161871253365"/>
          <c:h val="0.77735730003446535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 71,6 %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964932546285013E-2"/>
                  <c:y val="0.232829061260959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5,2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0.1237757822153697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2,8 %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610130749466686E-2"/>
                  <c:y val="-7.55634432883526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19,5 %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147756234028055E-2"/>
                  <c:y val="2.01564006473921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оборона 0,5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90488590112003E-2"/>
                  <c:y val="-1.98670688551990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мун.долга </a:t>
                    </a:r>
                    <a:r>
                      <a:rPr lang="en-US"/>
                      <a:t>0,</a:t>
                    </a:r>
                    <a:r>
                      <a:rPr lang="ru-RU"/>
                      <a:t>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2285822967781202"/>
                  <c:y val="3.22004294917680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 </a:t>
                    </a:r>
                    <a:r>
                      <a:rPr lang="en-US"/>
                      <a:t>0,5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01.07.2015    '!$I$75:$I$81</c:f>
              <c:numCache>
                <c:formatCode>General</c:formatCode>
                <c:ptCount val="7"/>
                <c:pt idx="0">
                  <c:v>71.599999999999994</c:v>
                </c:pt>
                <c:pt idx="1">
                  <c:v>5.2</c:v>
                </c:pt>
                <c:pt idx="2">
                  <c:v>2.8</c:v>
                </c:pt>
                <c:pt idx="3">
                  <c:v>19.899999999999999</c:v>
                </c:pt>
                <c:pt idx="4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580228409786596E-2"/>
          <c:y val="2.4961461949821108E-2"/>
          <c:w val="0.90479301046273364"/>
          <c:h val="0.745978275792449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92241385376426E-3"/>
                  <c:y val="-0.146711217018925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60594034324809E-3"/>
                  <c:y val="-0.160722130128470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856163757010325E-5"/>
                  <c:y val="-0.2684832159138005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5533946550666144E-17"/>
                  <c:y val="-0.3181696366901505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6697979776656613E-3"/>
                  <c:y val="-0.154474374913662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856163757010325E-5"/>
                  <c:y val="-0.3709021546725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8264338941546521E-3"/>
                  <c:y val="-0.294482085088201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660932063724593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251915094915461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7218934911242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213017751479289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0.366863905325444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'на 01.07.2015    '!$E$124:$E$135</c:f>
              <c:numCache>
                <c:formatCode>mmm/yy</c:formatCode>
                <c:ptCount val="12"/>
                <c:pt idx="0">
                  <c:v>42005</c:v>
                </c:pt>
                <c:pt idx="1">
                  <c:v>42036</c:v>
                </c:pt>
                <c:pt idx="2">
                  <c:v>42064</c:v>
                </c:pt>
                <c:pt idx="3">
                  <c:v>42095</c:v>
                </c:pt>
                <c:pt idx="4">
                  <c:v>42125</c:v>
                </c:pt>
                <c:pt idx="5">
                  <c:v>42156</c:v>
                </c:pt>
              </c:numCache>
            </c:numRef>
          </c:cat>
          <c:val>
            <c:numRef>
              <c:f>'на 01.07.2015    '!$F$124:$F$135</c:f>
              <c:numCache>
                <c:formatCode>General</c:formatCode>
                <c:ptCount val="12"/>
                <c:pt idx="0">
                  <c:v>20440.3</c:v>
                </c:pt>
                <c:pt idx="1">
                  <c:v>18937.900000000001</c:v>
                </c:pt>
                <c:pt idx="2">
                  <c:v>38157.5</c:v>
                </c:pt>
                <c:pt idx="3">
                  <c:v>52480.3</c:v>
                </c:pt>
                <c:pt idx="4">
                  <c:v>18585.8</c:v>
                </c:pt>
                <c:pt idx="5">
                  <c:v>63361.8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7812864"/>
        <c:axId val="97814400"/>
      </c:barChart>
      <c:dateAx>
        <c:axId val="97812864"/>
        <c:scaling>
          <c:orientation val="minMax"/>
        </c:scaling>
        <c:delete val="0"/>
        <c:axPos val="b"/>
        <c:numFmt formatCode="mmm/yy" sourceLinked="1"/>
        <c:majorTickMark val="out"/>
        <c:minorTickMark val="none"/>
        <c:tickLblPos val="nextTo"/>
        <c:crossAx val="97814400"/>
        <c:crosses val="autoZero"/>
        <c:auto val="1"/>
        <c:lblOffset val="100"/>
        <c:baseTimeUnit val="months"/>
      </c:dateAx>
      <c:valAx>
        <c:axId val="97814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781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7860332202178973E-3"/>
                  <c:y val="-3.055961938541175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74905712477511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74905712477511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1.749057124775111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25320,7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консол'!$C$12:$I$12</c:f>
              <c:strCache>
                <c:ptCount val="7"/>
                <c:pt idx="0">
                  <c:v>на 01.01.2012</c:v>
                </c:pt>
                <c:pt idx="2">
                  <c:v>на 01.01.2013</c:v>
                </c:pt>
                <c:pt idx="4">
                  <c:v>на 01.01.2014</c:v>
                </c:pt>
                <c:pt idx="6">
                  <c:v>на 01.07.2015</c:v>
                </c:pt>
              </c:strCache>
            </c:strRef>
          </c:cat>
          <c:val>
            <c:numRef>
              <c:f>'муниципальный долг консол'!$C$11:$I$11</c:f>
              <c:numCache>
                <c:formatCode>General</c:formatCode>
                <c:ptCount val="7"/>
                <c:pt idx="0">
                  <c:v>18900</c:v>
                </c:pt>
                <c:pt idx="2">
                  <c:v>24514</c:v>
                </c:pt>
                <c:pt idx="4">
                  <c:v>20767.5</c:v>
                </c:pt>
                <c:pt idx="6">
                  <c:v>25320.7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97843072"/>
        <c:axId val="97844608"/>
      </c:barChart>
      <c:catAx>
        <c:axId val="9784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844608"/>
        <c:crosses val="autoZero"/>
        <c:auto val="1"/>
        <c:lblAlgn val="ctr"/>
        <c:lblOffset val="100"/>
        <c:noMultiLvlLbl val="0"/>
      </c:catAx>
      <c:valAx>
        <c:axId val="978446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7843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3.6075036075036121E-2"/>
                  <c:y val="-5.45527408014579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4632034632034632E-2"/>
                  <c:y val="-5.1343756048430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518037518037568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6075036075036121E-2"/>
                  <c:y val="-3.529883228329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7518037518037568E-2"/>
                  <c:y val="-3.8507817036323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4632034632034632E-2"/>
                  <c:y val="-4.1716801789350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0303030303030311E-2"/>
                  <c:y val="-3.8507817036323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207995586897095E-3"/>
                  <c:y val="-3.850783958127687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4903,7</a:t>
                    </a:r>
                    <a:endParaRPr lang="en-US"/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5.916305916305916E-2"/>
                  <c:y val="-3.2089847530269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0404040404040414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6075036075036121E-2"/>
                  <c:y val="-3.8507817036323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1746031746031744E-2"/>
                  <c:y val="-4.4925786542377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303030303030311E-2"/>
                  <c:y val="-4.8134771295403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632034632034535E-2"/>
                  <c:y val="-3.846153846153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2.308802308802321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164502164502178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6"/>
              <c:layout>
                <c:manualLayout>
                  <c:x val="-2.3088023088023216E-2"/>
                  <c:y val="-4.166666666666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7"/>
              <c:layout>
                <c:manualLayout>
                  <c:x val="0"/>
                  <c:y val="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район'!$B$24:$L$24</c:f>
              <c:strCache>
                <c:ptCount val="8"/>
                <c:pt idx="1">
                  <c:v>на 01.01.2012</c:v>
                </c:pt>
                <c:pt idx="3">
                  <c:v>на 01.01.2013</c:v>
                </c:pt>
                <c:pt idx="5">
                  <c:v>на 01.01.2014</c:v>
                </c:pt>
                <c:pt idx="7">
                  <c:v>на 01.07.2015</c:v>
                </c:pt>
              </c:strCache>
            </c:strRef>
          </c:cat>
          <c:val>
            <c:numRef>
              <c:f>'муниципальный долг район'!$B$23:$L$23</c:f>
              <c:numCache>
                <c:formatCode>General</c:formatCode>
                <c:ptCount val="11"/>
                <c:pt idx="1">
                  <c:v>12900</c:v>
                </c:pt>
                <c:pt idx="3">
                  <c:v>15537</c:v>
                </c:pt>
                <c:pt idx="5">
                  <c:v>12570.4</c:v>
                </c:pt>
                <c:pt idx="7">
                  <c:v>14903.7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82619392"/>
        <c:axId val="82625280"/>
      </c:barChart>
      <c:catAx>
        <c:axId val="826193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25280"/>
        <c:crosses val="autoZero"/>
        <c:auto val="1"/>
        <c:lblAlgn val="ctr"/>
        <c:lblOffset val="100"/>
        <c:noMultiLvlLbl val="0"/>
      </c:catAx>
      <c:valAx>
        <c:axId val="8262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26193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0.48738</cdr:x>
      <cdr:y>0.49951</cdr:y>
    </cdr:from>
    <cdr:to>
      <cdr:x>0.50223</cdr:x>
      <cdr:y>0.56538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0.13098</cdr:x>
      <cdr:y>0.22754</cdr:y>
    </cdr:from>
    <cdr:to>
      <cdr:x>0.20786</cdr:x>
      <cdr:y>0.36077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1257300" y="1301750"/>
          <a:ext cx="72390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0.48713</cdr:x>
      <cdr:y>0.50049</cdr:y>
    </cdr:from>
    <cdr:to>
      <cdr:x>0.50248</cdr:x>
      <cdr:y>0.56636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43DFB-EEE3-4F35-A46F-D2B11CC65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12</Pages>
  <Words>2579</Words>
  <Characters>15371</Characters>
  <Application>Microsoft Office Word</Application>
  <DocSecurity>0</DocSecurity>
  <Lines>128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17915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lastModifiedBy>User</cp:lastModifiedBy>
  <cp:revision>89</cp:revision>
  <cp:lastPrinted>2015-07-20T05:07:00Z</cp:lastPrinted>
  <dcterms:created xsi:type="dcterms:W3CDTF">2014-08-14T05:09:00Z</dcterms:created>
  <dcterms:modified xsi:type="dcterms:W3CDTF">2015-07-28T04:16:00Z</dcterms:modified>
</cp:coreProperties>
</file>